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r>
        <w:rPr>
          <w:b/>
          <w:u w:val="single"/>
        </w:rPr>
        <w:t>EYFS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2880"/>
      </w:tblGrid>
      <w:tr>
        <w:tc>
          <w:tcPr>
            <w:tcW w:w="3256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ELG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July 2023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Word reading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78%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Comprehension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84%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Writing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49%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Number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70%</w:t>
            </w:r>
          </w:p>
        </w:tc>
      </w:tr>
      <w:tr>
        <w:tc>
          <w:tcPr>
            <w:tcW w:w="3256" w:type="dxa"/>
            <w:shd w:val="clear" w:color="auto" w:fill="000000" w:themeFill="text1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2880" w:type="dxa"/>
            <w:shd w:val="clear" w:color="auto" w:fill="000000" w:themeFill="text1"/>
          </w:tcPr>
          <w:p>
            <w:pPr>
              <w:rPr>
                <w:rFonts w:ascii="Myriad Pro" w:hAnsi="Myriad Pro"/>
              </w:rPr>
            </w:pP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Communication and Language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68%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PSED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62%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Physical Development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81%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Literacy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41%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Maths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65%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Understanding the World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86%</w:t>
            </w: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Expressive Arts and Design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95%</w:t>
            </w:r>
          </w:p>
        </w:tc>
      </w:tr>
      <w:tr>
        <w:tc>
          <w:tcPr>
            <w:tcW w:w="3256" w:type="dxa"/>
            <w:shd w:val="clear" w:color="auto" w:fill="000000" w:themeFill="text1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2880" w:type="dxa"/>
            <w:shd w:val="clear" w:color="auto" w:fill="000000" w:themeFill="text1"/>
          </w:tcPr>
          <w:p>
            <w:pPr>
              <w:rPr>
                <w:rFonts w:ascii="Myriad Pro" w:hAnsi="Myriad Pro"/>
              </w:rPr>
            </w:pPr>
          </w:p>
        </w:tc>
      </w:tr>
      <w:tr>
        <w:tc>
          <w:tcPr>
            <w:tcW w:w="325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Overall GLD</w:t>
            </w:r>
          </w:p>
        </w:tc>
        <w:tc>
          <w:tcPr>
            <w:tcW w:w="2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28%</w:t>
            </w:r>
          </w:p>
        </w:tc>
      </w:tr>
    </w:tbl>
    <w:p/>
    <w:p>
      <w:r>
        <w:rPr>
          <w:b/>
          <w:u w:val="single"/>
        </w:rPr>
        <w:t>Phonic Screening Check</w:t>
      </w:r>
    </w:p>
    <w:p>
      <w:pPr>
        <w:rPr>
          <w:rFonts w:ascii="Myriad Pro" w:hAnsi="Myriad Pro"/>
          <w:u w:val="single"/>
        </w:rPr>
      </w:pPr>
      <w:proofErr w:type="spellStart"/>
      <w:r>
        <w:rPr>
          <w:rFonts w:ascii="Myriad Pro" w:hAnsi="Myriad Pro"/>
          <w:u w:val="single"/>
        </w:rPr>
        <w:t>Keresley</w:t>
      </w:r>
      <w:proofErr w:type="spellEnd"/>
      <w:r>
        <w:rPr>
          <w:rFonts w:ascii="Myriad Pro" w:hAnsi="Myriad Pro"/>
          <w:u w:val="single"/>
        </w:rPr>
        <w:t xml:space="preserve"> Grange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</w:p>
        </w:tc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Phonic score Y1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Phonic score Y2</w:t>
            </w: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Year 1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66%</w:t>
            </w:r>
          </w:p>
        </w:tc>
        <w:tc>
          <w:tcPr>
            <w:tcW w:w="2254" w:type="dxa"/>
            <w:shd w:val="clear" w:color="auto" w:fill="000000" w:themeFill="text1"/>
          </w:tcPr>
          <w:p>
            <w:pPr>
              <w:rPr>
                <w:rFonts w:ascii="Myriad Pro" w:hAnsi="Myriad Pro"/>
              </w:rPr>
            </w:pP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Year 2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69%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61%</w:t>
            </w:r>
          </w:p>
        </w:tc>
      </w:tr>
    </w:tbl>
    <w:p>
      <w:pPr>
        <w:rPr>
          <w:b/>
        </w:rPr>
      </w:pPr>
    </w:p>
    <w:p>
      <w:pPr>
        <w:rPr>
          <w:rFonts w:ascii="Myriad Pro" w:hAnsi="Myriad Pro"/>
        </w:rPr>
      </w:pPr>
      <w:r>
        <w:rPr>
          <w:rFonts w:ascii="Myriad Pro" w:hAnsi="Myriad Pro"/>
          <w:b/>
          <w:u w:val="single"/>
        </w:rPr>
        <w:t>Key Stage 1</w:t>
      </w:r>
    </w:p>
    <w:p>
      <w:pPr>
        <w:rPr>
          <w:rFonts w:ascii="Myriad Pro" w:hAnsi="Myriad Pro"/>
        </w:rPr>
      </w:pPr>
      <w:proofErr w:type="spellStart"/>
      <w:r>
        <w:rPr>
          <w:rFonts w:ascii="Myriad Pro" w:hAnsi="Myriad Pro"/>
          <w:u w:val="single"/>
        </w:rPr>
        <w:t>Keresley</w:t>
      </w:r>
      <w:proofErr w:type="spellEnd"/>
      <w:r>
        <w:rPr>
          <w:rFonts w:ascii="Myriad Pro" w:hAnsi="Myriad Pro"/>
          <w:u w:val="single"/>
        </w:rPr>
        <w:t xml:space="preserve"> Grange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</w:tblGrid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</w:p>
        </w:tc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% ARE /+ (GD)</w:t>
            </w: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Reading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52%</w:t>
            </w: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Writing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41%</w:t>
            </w: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Maths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50%</w:t>
            </w:r>
          </w:p>
        </w:tc>
      </w:tr>
      <w:tr>
        <w:tc>
          <w:tcPr>
            <w:tcW w:w="2254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Science</w:t>
            </w:r>
          </w:p>
        </w:tc>
        <w:tc>
          <w:tcPr>
            <w:tcW w:w="2254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72%</w:t>
            </w:r>
          </w:p>
        </w:tc>
      </w:tr>
    </w:tbl>
    <w:p>
      <w:pPr>
        <w:rPr>
          <w:rFonts w:ascii="Myriad Pro" w:hAnsi="Myriad Pro"/>
        </w:rPr>
      </w:pPr>
    </w:p>
    <w:p>
      <w:pPr>
        <w:rPr>
          <w:rFonts w:ascii="Myriad Pro" w:hAnsi="Myriad Pro"/>
          <w:b/>
          <w:u w:val="single"/>
        </w:rPr>
      </w:pPr>
      <w:r>
        <w:rPr>
          <w:rFonts w:ascii="Myriad Pro" w:hAnsi="Myriad Pro"/>
          <w:b/>
          <w:u w:val="single"/>
        </w:rPr>
        <w:t>Key Stage 2</w:t>
      </w:r>
    </w:p>
    <w:p>
      <w:pPr>
        <w:rPr>
          <w:rFonts w:ascii="Myriad Pro" w:hAnsi="Myriad Pro"/>
          <w:u w:val="single"/>
        </w:rPr>
      </w:pPr>
      <w:r>
        <w:rPr>
          <w:rFonts w:ascii="Myriad Pro" w:hAnsi="Myriad Pro"/>
          <w:u w:val="single"/>
        </w:rPr>
        <w:t xml:space="preserve">Multiplication Tables Check – </w:t>
      </w:r>
      <w:proofErr w:type="spellStart"/>
      <w:r>
        <w:rPr>
          <w:rFonts w:ascii="Myriad Pro" w:hAnsi="Myriad Pro"/>
          <w:u w:val="single"/>
        </w:rPr>
        <w:t>Keresley</w:t>
      </w:r>
      <w:proofErr w:type="spellEnd"/>
      <w:r>
        <w:rPr>
          <w:rFonts w:ascii="Myriad Pro" w:hAnsi="Myriad Pro"/>
          <w:u w:val="single"/>
        </w:rPr>
        <w:t xml:space="preserve"> Grange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936"/>
        <w:gridCol w:w="1936"/>
      </w:tblGrid>
      <w:tr>
        <w:tc>
          <w:tcPr>
            <w:tcW w:w="1271" w:type="dxa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193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% at 25 marks</w:t>
            </w:r>
          </w:p>
        </w:tc>
        <w:tc>
          <w:tcPr>
            <w:tcW w:w="193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% 20 – 25 marks</w:t>
            </w:r>
          </w:p>
        </w:tc>
      </w:tr>
      <w:tr>
        <w:tc>
          <w:tcPr>
            <w:tcW w:w="1271" w:type="dxa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193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14%</w:t>
            </w:r>
          </w:p>
        </w:tc>
        <w:tc>
          <w:tcPr>
            <w:tcW w:w="1936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39%</w:t>
            </w:r>
          </w:p>
        </w:tc>
      </w:tr>
    </w:tbl>
    <w:p>
      <w:pPr>
        <w:rPr>
          <w:rFonts w:ascii="Myriad Pro" w:hAnsi="Myriad Pro"/>
        </w:rPr>
      </w:pPr>
    </w:p>
    <w:p>
      <w:pPr>
        <w:rPr>
          <w:rFonts w:ascii="Myriad Pro" w:hAnsi="Myriad Pro"/>
        </w:rPr>
      </w:pPr>
      <w:bookmarkStart w:id="0" w:name="_GoBack"/>
      <w:bookmarkEnd w:id="0"/>
    </w:p>
    <w:p>
      <w:pPr>
        <w:rPr>
          <w:rFonts w:ascii="Myriad Pro" w:hAnsi="Myriad Pro"/>
          <w:u w:val="single"/>
        </w:rPr>
      </w:pPr>
      <w:r>
        <w:rPr>
          <w:rFonts w:ascii="Myriad Pro" w:hAnsi="Myriad Pro"/>
          <w:u w:val="single"/>
        </w:rPr>
        <w:t xml:space="preserve">Year 6 Teacher Assessment – </w:t>
      </w:r>
      <w:proofErr w:type="spellStart"/>
      <w:r>
        <w:rPr>
          <w:rFonts w:ascii="Myriad Pro" w:hAnsi="Myriad Pro"/>
          <w:u w:val="single"/>
        </w:rPr>
        <w:t>Keresley</w:t>
      </w:r>
      <w:proofErr w:type="spellEnd"/>
      <w:r>
        <w:rPr>
          <w:rFonts w:ascii="Myriad Pro" w:hAnsi="Myriad Pro"/>
          <w:u w:val="single"/>
        </w:rPr>
        <w:t xml:space="preserve"> Grange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23"/>
        <w:gridCol w:w="1880"/>
      </w:tblGrid>
      <w:tr>
        <w:tc>
          <w:tcPr>
            <w:tcW w:w="2023" w:type="dxa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1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% ARE (GDS)</w:t>
            </w:r>
          </w:p>
        </w:tc>
      </w:tr>
      <w:tr>
        <w:tc>
          <w:tcPr>
            <w:tcW w:w="2023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Writing</w:t>
            </w:r>
          </w:p>
        </w:tc>
        <w:tc>
          <w:tcPr>
            <w:tcW w:w="1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71% (27%)</w:t>
            </w:r>
          </w:p>
        </w:tc>
      </w:tr>
      <w:tr>
        <w:tc>
          <w:tcPr>
            <w:tcW w:w="2023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Science</w:t>
            </w:r>
          </w:p>
        </w:tc>
        <w:tc>
          <w:tcPr>
            <w:tcW w:w="1880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71%</w:t>
            </w:r>
          </w:p>
        </w:tc>
      </w:tr>
    </w:tbl>
    <w:p>
      <w:pPr>
        <w:rPr>
          <w:rFonts w:ascii="Myriad Pro" w:hAnsi="Myriad Pro"/>
          <w:u w:val="single"/>
        </w:rPr>
      </w:pPr>
    </w:p>
    <w:p>
      <w:pPr>
        <w:rPr>
          <w:rFonts w:ascii="Myriad Pro" w:hAnsi="Myriad Pro"/>
          <w:u w:val="single"/>
        </w:rPr>
      </w:pPr>
      <w:r>
        <w:rPr>
          <w:rFonts w:ascii="Myriad Pro" w:hAnsi="Myriad Pro"/>
          <w:u w:val="single"/>
        </w:rPr>
        <w:lastRenderedPageBreak/>
        <w:t xml:space="preserve">SATS results – </w:t>
      </w:r>
      <w:proofErr w:type="spellStart"/>
      <w:r>
        <w:rPr>
          <w:rFonts w:ascii="Myriad Pro" w:hAnsi="Myriad Pro"/>
          <w:u w:val="single"/>
        </w:rPr>
        <w:t>Keresley</w:t>
      </w:r>
      <w:proofErr w:type="spellEnd"/>
      <w:r>
        <w:rPr>
          <w:rFonts w:ascii="Myriad Pro" w:hAnsi="Myriad Pro"/>
          <w:u w:val="single"/>
        </w:rPr>
        <w:t xml:space="preserve"> Grange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</w:tblGrid>
      <w:tr>
        <w:tc>
          <w:tcPr>
            <w:tcW w:w="3005" w:type="dxa"/>
          </w:tcPr>
          <w:p>
            <w:pPr>
              <w:rPr>
                <w:rFonts w:ascii="Myriad Pro" w:hAnsi="Myriad Pro"/>
              </w:rPr>
            </w:pPr>
          </w:p>
        </w:tc>
        <w:tc>
          <w:tcPr>
            <w:tcW w:w="3005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% ARE (GDS)</w:t>
            </w:r>
          </w:p>
        </w:tc>
      </w:tr>
      <w:tr>
        <w:tc>
          <w:tcPr>
            <w:tcW w:w="3005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Reading</w:t>
            </w:r>
          </w:p>
        </w:tc>
        <w:tc>
          <w:tcPr>
            <w:tcW w:w="3005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62% (24%)</w:t>
            </w:r>
          </w:p>
        </w:tc>
      </w:tr>
      <w:tr>
        <w:tc>
          <w:tcPr>
            <w:tcW w:w="3005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Maths</w:t>
            </w:r>
          </w:p>
        </w:tc>
        <w:tc>
          <w:tcPr>
            <w:tcW w:w="3005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60% (16%)</w:t>
            </w:r>
          </w:p>
        </w:tc>
      </w:tr>
      <w:tr>
        <w:tc>
          <w:tcPr>
            <w:tcW w:w="3005" w:type="dxa"/>
          </w:tcPr>
          <w:p>
            <w:pPr>
              <w:rPr>
                <w:rFonts w:ascii="Myriad Pro" w:hAnsi="Myriad Pro"/>
                <w:b/>
              </w:rPr>
            </w:pPr>
            <w:r>
              <w:rPr>
                <w:rFonts w:ascii="Myriad Pro" w:hAnsi="Myriad Pro"/>
                <w:b/>
              </w:rPr>
              <w:t>Grammar</w:t>
            </w:r>
          </w:p>
        </w:tc>
        <w:tc>
          <w:tcPr>
            <w:tcW w:w="3005" w:type="dxa"/>
          </w:tcPr>
          <w:p>
            <w:pPr>
              <w:rPr>
                <w:rFonts w:ascii="Myriad Pro" w:hAnsi="Myriad Pro"/>
              </w:rPr>
            </w:pPr>
            <w:r>
              <w:rPr>
                <w:rFonts w:ascii="Myriad Pro" w:hAnsi="Myriad Pro"/>
              </w:rPr>
              <w:t>73% (13%)</w:t>
            </w:r>
          </w:p>
        </w:tc>
      </w:tr>
    </w:tbl>
    <w:p>
      <w:pPr>
        <w:rPr>
          <w:rFonts w:ascii="Myriad Pro" w:hAnsi="Myriad Pro"/>
        </w:rPr>
      </w:pPr>
    </w:p>
    <w:p>
      <w:pPr>
        <w:rPr>
          <w:rFonts w:ascii="Myriad Pro" w:hAnsi="Myriad Pro"/>
          <w:u w:val="single"/>
        </w:rPr>
      </w:pPr>
    </w:p>
    <w:p>
      <w:pPr>
        <w:rPr>
          <w:rFonts w:ascii="Myriad Pro" w:hAnsi="Myriad Pro"/>
          <w:u w:val="single"/>
        </w:rPr>
      </w:pPr>
    </w:p>
    <w:sectPr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yriad Pro Light">
    <w:panose1 w:val="020B04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Footer"/>
      <w:tabs>
        <w:tab w:val="clear" w:pos="4513"/>
        <w:tab w:val="clear" w:pos="9026"/>
        <w:tab w:val="left" w:pos="5704"/>
      </w:tabs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-102985</wp:posOffset>
          </wp:positionV>
          <wp:extent cx="377825" cy="433070"/>
          <wp:effectExtent l="0" t="0" r="3175" b="5080"/>
          <wp:wrapTight wrapText="bothSides">
            <wp:wrapPolygon edited="0">
              <wp:start x="0" y="0"/>
              <wp:lineTo x="0" y="20903"/>
              <wp:lineTo x="20692" y="20903"/>
              <wp:lineTo x="20692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825" cy="433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10136</wp:posOffset>
          </wp:positionV>
          <wp:extent cx="534035" cy="269240"/>
          <wp:effectExtent l="0" t="0" r="0" b="0"/>
          <wp:wrapTight wrapText="bothSides">
            <wp:wrapPolygon edited="0">
              <wp:start x="4623" y="0"/>
              <wp:lineTo x="0" y="0"/>
              <wp:lineTo x="0" y="16811"/>
              <wp:lineTo x="4623" y="19868"/>
              <wp:lineTo x="16181" y="19868"/>
              <wp:lineTo x="20804" y="19868"/>
              <wp:lineTo x="20804" y="4585"/>
              <wp:lineTo x="16181" y="0"/>
              <wp:lineTo x="4623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035" cy="269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  <w:jc w:val="center"/>
      <w:rPr>
        <w:rFonts w:ascii="Myriad Pro Light" w:hAnsi="Myriad Pro Light"/>
        <w:b/>
        <w:u w:val="single"/>
      </w:rPr>
    </w:pPr>
    <w:r>
      <w:rPr>
        <w:rFonts w:ascii="Myriad Pro Light" w:hAnsi="Myriad Pro Light"/>
        <w:b/>
        <w:noProof/>
        <w:u w:val="single"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rightMargin">
            <wp:posOffset>-149860</wp:posOffset>
          </wp:positionH>
          <wp:positionV relativeFrom="paragraph">
            <wp:posOffset>-281305</wp:posOffset>
          </wp:positionV>
          <wp:extent cx="619125" cy="749300"/>
          <wp:effectExtent l="0" t="0" r="0" b="0"/>
          <wp:wrapTight wrapText="bothSides">
            <wp:wrapPolygon edited="0">
              <wp:start x="9305" y="549"/>
              <wp:lineTo x="3988" y="3844"/>
              <wp:lineTo x="2658" y="9885"/>
              <wp:lineTo x="5317" y="10434"/>
              <wp:lineTo x="2658" y="12631"/>
              <wp:lineTo x="1329" y="20319"/>
              <wp:lineTo x="19274" y="20319"/>
              <wp:lineTo x="19938" y="17573"/>
              <wp:lineTo x="18609" y="12631"/>
              <wp:lineTo x="15951" y="10434"/>
              <wp:lineTo x="19274" y="9336"/>
              <wp:lineTo x="17945" y="3844"/>
              <wp:lineTo x="12628" y="549"/>
              <wp:lineTo x="9305" y="549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KN_PA_logo_Purple_RG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125" cy="749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 Pro Light" w:hAnsi="Myriad Pro Light"/>
        <w:b/>
        <w:noProof/>
        <w:u w:val="single"/>
        <w:lang w:eastAsia="en-GB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leftMargin">
            <wp:posOffset>400050</wp:posOffset>
          </wp:positionH>
          <wp:positionV relativeFrom="paragraph">
            <wp:posOffset>-290830</wp:posOffset>
          </wp:positionV>
          <wp:extent cx="628650" cy="761365"/>
          <wp:effectExtent l="0" t="0" r="0" b="0"/>
          <wp:wrapTight wrapText="bothSides">
            <wp:wrapPolygon edited="0">
              <wp:start x="9164" y="540"/>
              <wp:lineTo x="3927" y="3783"/>
              <wp:lineTo x="2618" y="9728"/>
              <wp:lineTo x="1309" y="20537"/>
              <wp:lineTo x="18327" y="20537"/>
              <wp:lineTo x="18982" y="19456"/>
              <wp:lineTo x="18327" y="12430"/>
              <wp:lineTo x="16364" y="10269"/>
              <wp:lineTo x="18982" y="9188"/>
              <wp:lineTo x="17018" y="3243"/>
              <wp:lineTo x="12436" y="540"/>
              <wp:lineTo x="9164" y="54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KG_PA_logo_purple_RGB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 Pro Light" w:hAnsi="Myriad Pro Light"/>
        <w:b/>
        <w:noProof/>
        <w:u w:val="single"/>
        <w:lang w:eastAsia="en-GB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-319496</wp:posOffset>
          </wp:positionV>
          <wp:extent cx="464154" cy="313533"/>
          <wp:effectExtent l="0" t="0" r="0" b="0"/>
          <wp:wrapTight wrapText="bothSides">
            <wp:wrapPolygon edited="0">
              <wp:start x="0" y="0"/>
              <wp:lineTo x="0" y="19716"/>
              <wp:lineTo x="20416" y="19716"/>
              <wp:lineTo x="20416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Keresley_L_logo_RGB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154" cy="31353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yriad Pro Light" w:hAnsi="Myriad Pro Light"/>
        <w:b/>
        <w:u w:val="single"/>
      </w:rPr>
      <w:t>July 2023 End of Key Stage Data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534B56"/>
    <w:multiLevelType w:val="hybridMultilevel"/>
    <w:tmpl w:val="4F946A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6F61"/>
    <w:multiLevelType w:val="hybridMultilevel"/>
    <w:tmpl w:val="68305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AE1D97"/>
    <w:multiLevelType w:val="hybridMultilevel"/>
    <w:tmpl w:val="B51459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580F8E"/>
    <w:multiLevelType w:val="hybridMultilevel"/>
    <w:tmpl w:val="D31EB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D23727"/>
    <w:multiLevelType w:val="hybridMultilevel"/>
    <w:tmpl w:val="1BF61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C028BF"/>
    <w:multiLevelType w:val="hybridMultilevel"/>
    <w:tmpl w:val="A8F2EE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EE7589C"/>
    <w:multiLevelType w:val="hybridMultilevel"/>
    <w:tmpl w:val="3C923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50D099B-D126-4DDD-B521-CC1C3ACCE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9e3162e-f5f3-47b6-9b07-3ff31bc2668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EC45960C30DF4F849FE55309AA1D21" ma:contentTypeVersion="18" ma:contentTypeDescription="Create a new document." ma:contentTypeScope="" ma:versionID="42c97971d322d4f5ce1cffc1cc3958ec">
  <xsd:schema xmlns:xsd="http://www.w3.org/2001/XMLSchema" xmlns:xs="http://www.w3.org/2001/XMLSchema" xmlns:p="http://schemas.microsoft.com/office/2006/metadata/properties" xmlns:ns3="92b0dab0-21f0-47d1-a540-abbb716456c5" xmlns:ns4="79e3162e-f5f3-47b6-9b07-3ff31bc2668d" targetNamespace="http://schemas.microsoft.com/office/2006/metadata/properties" ma:root="true" ma:fieldsID="39d3bf2f103bc52066558422e9199f45" ns3:_="" ns4:_="">
    <xsd:import namespace="92b0dab0-21f0-47d1-a540-abbb716456c5"/>
    <xsd:import namespace="79e3162e-f5f3-47b6-9b07-3ff31bc2668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0dab0-21f0-47d1-a540-abbb716456c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3162e-f5f3-47b6-9b07-3ff31bc266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A62F38F-5D28-4B3B-82B8-D55DF7074A47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79e3162e-f5f3-47b6-9b07-3ff31bc2668d"/>
    <ds:schemaRef ds:uri="http://www.w3.org/XML/1998/namespace"/>
    <ds:schemaRef ds:uri="http://purl.org/dc/elements/1.1/"/>
    <ds:schemaRef ds:uri="92b0dab0-21f0-47d1-a540-abbb716456c5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35526B9A-749A-4938-AA6C-678653ADC6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E3488B-A7EB-426A-8B35-3F9B893CCB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b0dab0-21f0-47d1-a540-abbb716456c5"/>
    <ds:schemaRef ds:uri="79e3162e-f5f3-47b6-9b07-3ff31bc266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Keresley Grange Academy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 Astley (KG)</dc:creator>
  <cp:keywords/>
  <dc:description/>
  <cp:lastModifiedBy>J. Astley (KG)</cp:lastModifiedBy>
  <cp:revision>3</cp:revision>
  <cp:lastPrinted>2022-01-25T14:50:00Z</cp:lastPrinted>
  <dcterms:created xsi:type="dcterms:W3CDTF">2024-05-14T21:20:00Z</dcterms:created>
  <dcterms:modified xsi:type="dcterms:W3CDTF">2024-05-14T21:22:00Z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0x010100C0EC45960C30DF4F849FE55309AA1D21</vt:lpwstr>
  </property>
</Properties>
</file>