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center"/>
        <w:rPr>
          <w:rFonts w:ascii="Arial" w:hAnsi="Arial" w:cs="Arial"/>
          <w:b/>
          <w:color w:val="0070C0"/>
          <w:sz w:val="28"/>
          <w:szCs w:val="20"/>
          <w:u w:val="single"/>
        </w:rPr>
      </w:pPr>
      <w:r>
        <w:rPr>
          <w:rFonts w:ascii="Arial" w:hAnsi="Arial" w:cs="Arial"/>
          <w:b/>
          <w:color w:val="0070C0"/>
          <w:sz w:val="28"/>
          <w:szCs w:val="20"/>
          <w:u w:val="single"/>
        </w:rPr>
        <w:t>Curriculum Intent, Implementation and Impact</w:t>
      </w:r>
    </w:p>
    <w:p>
      <w:pPr>
        <w:rPr>
          <w:rFonts w:ascii="Arial" w:hAnsi="Arial" w:cs="Arial"/>
          <w:b/>
          <w:sz w:val="20"/>
          <w:szCs w:val="20"/>
          <w:u w:val="single"/>
        </w:rPr>
      </w:pPr>
      <w:r>
        <w:rPr>
          <w:rFonts w:ascii="Arial" w:hAnsi="Arial" w:cs="Arial"/>
          <w:b/>
          <w:sz w:val="20"/>
          <w:szCs w:val="20"/>
          <w:u w:val="single"/>
        </w:rPr>
        <w:t xml:space="preserve">Our Community: </w:t>
      </w:r>
    </w:p>
    <w:p>
      <w:pPr>
        <w:rPr>
          <w:rFonts w:ascii="Arial" w:eastAsia="Calibri" w:hAnsi="Arial" w:cs="Arial"/>
          <w:sz w:val="20"/>
          <w:szCs w:val="20"/>
          <w:lang w:eastAsia="en-GB"/>
        </w:rPr>
      </w:pPr>
      <w:r>
        <w:rPr>
          <w:rFonts w:ascii="Arial" w:eastAsia="Calibri" w:hAnsi="Arial" w:cs="Arial"/>
          <w:sz w:val="20"/>
          <w:szCs w:val="20"/>
          <w:lang w:eastAsia="en-GB"/>
        </w:rPr>
        <w:t xml:space="preserve">Children at </w:t>
      </w:r>
      <w:proofErr w:type="spellStart"/>
      <w:r>
        <w:rPr>
          <w:rFonts w:ascii="Arial" w:eastAsia="Calibri" w:hAnsi="Arial" w:cs="Arial"/>
          <w:sz w:val="20"/>
          <w:szCs w:val="20"/>
          <w:lang w:eastAsia="en-GB"/>
        </w:rPr>
        <w:t>Keresley</w:t>
      </w:r>
      <w:proofErr w:type="spellEnd"/>
      <w:r>
        <w:rPr>
          <w:rFonts w:ascii="Arial" w:eastAsia="Calibri" w:hAnsi="Arial" w:cs="Arial"/>
          <w:sz w:val="20"/>
          <w:szCs w:val="20"/>
          <w:lang w:eastAsia="en-GB"/>
        </w:rPr>
        <w:t xml:space="preserve"> Academies are individuals and come from a range of social backgrounds. They enjoy school, and some are keen to share their achievements. The typical learner spends much of their time on technology, keeping up with their peers playing the latest games. Although some children have access to more traditional and outdoor pastimes, many do not. This can impact on social skills, aspiration, general knowledge, vocabulary, spoken and written language and learning behaviours. Children sometimes lack resilience as learners, often giving up if learning is challenging.</w:t>
      </w:r>
    </w:p>
    <w:p>
      <w:pPr>
        <w:rPr>
          <w:rFonts w:ascii="Arial" w:eastAsia="Calibri" w:hAnsi="Arial" w:cs="Arial"/>
          <w:sz w:val="20"/>
          <w:szCs w:val="20"/>
          <w:lang w:eastAsia="en-GB"/>
        </w:rPr>
      </w:pPr>
    </w:p>
    <w:p>
      <w:pPr>
        <w:rPr>
          <w:rFonts w:ascii="Arial" w:eastAsia="Calibri" w:hAnsi="Arial" w:cs="Arial"/>
          <w:b/>
          <w:sz w:val="20"/>
          <w:szCs w:val="20"/>
          <w:u w:val="single"/>
          <w:lang w:eastAsia="en-GB"/>
        </w:rPr>
      </w:pPr>
      <w:r>
        <w:rPr>
          <w:rFonts w:ascii="Arial" w:eastAsia="Calibri" w:hAnsi="Arial" w:cs="Arial"/>
          <w:b/>
          <w:sz w:val="20"/>
          <w:szCs w:val="20"/>
          <w:u w:val="single"/>
          <w:lang w:eastAsia="en-GB"/>
        </w:rPr>
        <w:t xml:space="preserve">Curriculum: </w:t>
      </w:r>
    </w:p>
    <w:p>
      <w:pPr>
        <w:rPr>
          <w:rFonts w:ascii="Arial" w:eastAsia="Calibri" w:hAnsi="Arial" w:cs="Arial"/>
          <w:sz w:val="20"/>
          <w:szCs w:val="20"/>
          <w:lang w:eastAsia="en-GB"/>
        </w:rPr>
      </w:pPr>
      <w:r>
        <w:rPr>
          <w:rFonts w:ascii="Arial" w:eastAsia="Calibri" w:hAnsi="Arial" w:cs="Arial"/>
          <w:sz w:val="20"/>
          <w:szCs w:val="20"/>
          <w:lang w:eastAsia="en-GB"/>
        </w:rPr>
        <w:t xml:space="preserve">To meet the needs of our community of learners, the curriculum is based around providing language rich opportunities, with story and reading at its heart. </w:t>
      </w:r>
    </w:p>
    <w:p>
      <w:pPr>
        <w:rPr>
          <w:rFonts w:ascii="Arial" w:eastAsia="Calibri" w:hAnsi="Arial" w:cs="Arial"/>
          <w:sz w:val="20"/>
          <w:szCs w:val="20"/>
          <w:lang w:eastAsia="en-GB"/>
        </w:rPr>
      </w:pPr>
      <w:r>
        <w:rPr>
          <w:rFonts w:ascii="Arial" w:eastAsia="Calibri" w:hAnsi="Arial" w:cs="Arial"/>
          <w:sz w:val="20"/>
          <w:szCs w:val="20"/>
          <w:lang w:eastAsia="en-GB"/>
        </w:rPr>
        <w:t xml:space="preserve">There is a focus on Growth Mindsets to promote resilience; and the understanding that failure leads to new learning and is exciting. </w:t>
      </w:r>
    </w:p>
    <w:p>
      <w:pPr>
        <w:rPr>
          <w:rFonts w:ascii="Arial" w:eastAsia="Calibri" w:hAnsi="Arial" w:cs="Arial"/>
          <w:sz w:val="20"/>
          <w:szCs w:val="20"/>
          <w:lang w:eastAsia="en-GB"/>
        </w:rPr>
      </w:pPr>
      <w:r>
        <w:rPr>
          <w:rFonts w:ascii="Arial" w:eastAsia="Calibri" w:hAnsi="Arial" w:cs="Arial"/>
          <w:sz w:val="20"/>
          <w:szCs w:val="20"/>
          <w:lang w:eastAsia="en-GB"/>
        </w:rPr>
        <w:t>For children to be successful in life and learning, we provide a rich curriculum covering a wide range of subjects, a breadth of knowledge and skills for life.</w:t>
      </w:r>
    </w:p>
    <w:p>
      <w:pPr>
        <w:rPr>
          <w:rFonts w:ascii="Arial" w:eastAsia="Calibri" w:hAnsi="Arial" w:cs="Arial"/>
          <w:b/>
          <w:sz w:val="20"/>
          <w:szCs w:val="20"/>
          <w:u w:val="single"/>
          <w:lang w:eastAsia="en-GB"/>
        </w:rPr>
      </w:pPr>
    </w:p>
    <w:p>
      <w:pPr>
        <w:rPr>
          <w:rFonts w:ascii="Arial" w:eastAsia="Calibri" w:hAnsi="Arial" w:cs="Arial"/>
          <w:b/>
          <w:sz w:val="20"/>
          <w:szCs w:val="20"/>
          <w:u w:val="single"/>
          <w:lang w:eastAsia="en-GB"/>
        </w:rPr>
      </w:pPr>
      <w:r>
        <w:rPr>
          <w:rFonts w:ascii="Arial" w:eastAsia="Calibri" w:hAnsi="Arial" w:cs="Arial"/>
          <w:b/>
          <w:sz w:val="20"/>
          <w:szCs w:val="20"/>
          <w:u w:val="single"/>
          <w:lang w:eastAsia="en-GB"/>
        </w:rPr>
        <w:t>Intended Impact:</w:t>
      </w:r>
    </w:p>
    <w:p>
      <w:pPr>
        <w:rPr>
          <w:rFonts w:ascii="Arial" w:eastAsia="Calibri" w:hAnsi="Arial" w:cs="Arial"/>
          <w:sz w:val="20"/>
          <w:szCs w:val="20"/>
          <w:lang w:eastAsia="en-GB"/>
        </w:rPr>
      </w:pPr>
      <w:r>
        <w:rPr>
          <w:rFonts w:ascii="Arial" w:eastAsia="Calibri" w:hAnsi="Arial" w:cs="Arial"/>
          <w:sz w:val="20"/>
          <w:szCs w:val="20"/>
          <w:lang w:eastAsia="en-GB"/>
        </w:rPr>
        <w:t xml:space="preserve">From this, children develop the skills to be successful in life with a breadth of knowledge and a wide range of skills that enable them to be Leaders of Learning. Children are articulate and thrive on extending their vocabulary; and read widely with joy. Children become both independent and collaborative learners who love challenge; and understand who they are both as learners and as members of society. They develop a broad knowledge of different subjects and use this information to find out more. They are confident in themselves, but also show empathy and compassion to others. Children have high aspirations for their lives and their future. There is a high commitment to the school from children, families and the community. </w:t>
      </w:r>
    </w:p>
    <w:p>
      <w:pPr>
        <w:rPr>
          <w:rFonts w:ascii="Arial" w:eastAsia="Calibri" w:hAnsi="Arial" w:cs="Arial"/>
          <w:sz w:val="20"/>
          <w:szCs w:val="20"/>
          <w:lang w:eastAsia="en-GB"/>
        </w:rPr>
      </w:pPr>
    </w:p>
    <w:p>
      <w:pPr>
        <w:rPr>
          <w:rFonts w:ascii="Arial" w:eastAsia="Calibri" w:hAnsi="Arial" w:cs="Arial"/>
          <w:sz w:val="20"/>
          <w:szCs w:val="20"/>
          <w:lang w:eastAsia="en-GB"/>
        </w:rPr>
      </w:pPr>
    </w:p>
    <w:p>
      <w:pPr>
        <w:rPr>
          <w:rFonts w:ascii="Arial" w:eastAsia="Calibri" w:hAnsi="Arial" w:cs="Arial"/>
          <w:sz w:val="20"/>
          <w:szCs w:val="20"/>
          <w:lang w:eastAsia="en-GB"/>
        </w:rPr>
      </w:pPr>
    </w:p>
    <w:p>
      <w:pPr>
        <w:rPr>
          <w:rFonts w:ascii="Arial" w:eastAsia="Calibri" w:hAnsi="Arial" w:cs="Arial"/>
          <w:sz w:val="20"/>
          <w:szCs w:val="20"/>
          <w:lang w:eastAsia="en-GB"/>
        </w:rPr>
      </w:pPr>
    </w:p>
    <w:p>
      <w:pPr>
        <w:rPr>
          <w:rFonts w:ascii="Arial" w:eastAsia="Calibri" w:hAnsi="Arial" w:cs="Arial"/>
          <w:sz w:val="20"/>
          <w:szCs w:val="20"/>
          <w:lang w:eastAsia="en-GB"/>
        </w:rPr>
      </w:pPr>
    </w:p>
    <w:p>
      <w:pPr>
        <w:rPr>
          <w:rFonts w:ascii="Arial" w:eastAsia="Calibri" w:hAnsi="Arial" w:cs="Arial"/>
          <w:sz w:val="20"/>
          <w:szCs w:val="20"/>
          <w:lang w:eastAsia="en-GB"/>
        </w:rPr>
      </w:pPr>
    </w:p>
    <w:p>
      <w:pPr>
        <w:rPr>
          <w:rFonts w:ascii="Arial" w:eastAsia="Calibri" w:hAnsi="Arial" w:cs="Arial"/>
          <w:sz w:val="20"/>
          <w:szCs w:val="20"/>
          <w:lang w:eastAsia="en-GB"/>
        </w:rPr>
      </w:pPr>
    </w:p>
    <w:tbl>
      <w:tblPr>
        <w:tblStyle w:val="TableGrid"/>
        <w:tblpPr w:leftFromText="180" w:rightFromText="180" w:vertAnchor="text" w:horzAnchor="margin" w:tblpXSpec="center" w:tblpY="273"/>
        <w:tblW w:w="15730" w:type="dxa"/>
        <w:tblLook w:val="04A0" w:firstRow="1" w:lastRow="0" w:firstColumn="1" w:lastColumn="0" w:noHBand="0" w:noVBand="1"/>
      </w:tblPr>
      <w:tblGrid>
        <w:gridCol w:w="5243"/>
        <w:gridCol w:w="5243"/>
        <w:gridCol w:w="5244"/>
      </w:tblGrid>
      <w:tr>
        <w:trPr>
          <w:trHeight w:val="376"/>
        </w:trPr>
        <w:tc>
          <w:tcPr>
            <w:tcW w:w="5243" w:type="dxa"/>
          </w:tcPr>
          <w:p>
            <w:pPr>
              <w:ind w:left="360"/>
              <w:jc w:val="center"/>
              <w:rPr>
                <w:rFonts w:ascii="Arial" w:hAnsi="Arial" w:cs="Arial"/>
                <w:b/>
                <w:bCs/>
                <w:iCs/>
                <w:color w:val="0070C0"/>
                <w:sz w:val="24"/>
                <w:szCs w:val="20"/>
              </w:rPr>
            </w:pPr>
            <w:r>
              <w:rPr>
                <w:rFonts w:ascii="Arial" w:hAnsi="Arial" w:cs="Arial"/>
                <w:b/>
                <w:bCs/>
                <w:iCs/>
                <w:color w:val="0070C0"/>
                <w:sz w:val="24"/>
                <w:szCs w:val="20"/>
              </w:rPr>
              <w:lastRenderedPageBreak/>
              <w:t>Language:</w:t>
            </w:r>
          </w:p>
        </w:tc>
        <w:tc>
          <w:tcPr>
            <w:tcW w:w="5243" w:type="dxa"/>
          </w:tcPr>
          <w:p>
            <w:pPr>
              <w:ind w:left="360"/>
              <w:jc w:val="center"/>
              <w:rPr>
                <w:rFonts w:ascii="Arial" w:hAnsi="Arial" w:cs="Arial"/>
                <w:b/>
                <w:bCs/>
                <w:iCs/>
                <w:color w:val="0070C0"/>
                <w:sz w:val="24"/>
                <w:szCs w:val="20"/>
              </w:rPr>
            </w:pPr>
            <w:r>
              <w:rPr>
                <w:rFonts w:ascii="Arial" w:hAnsi="Arial" w:cs="Arial"/>
                <w:b/>
                <w:bCs/>
                <w:iCs/>
                <w:color w:val="0070C0"/>
                <w:sz w:val="24"/>
                <w:szCs w:val="20"/>
              </w:rPr>
              <w:t>Learning:</w:t>
            </w:r>
          </w:p>
        </w:tc>
        <w:tc>
          <w:tcPr>
            <w:tcW w:w="5244" w:type="dxa"/>
          </w:tcPr>
          <w:p>
            <w:pPr>
              <w:ind w:left="360"/>
              <w:jc w:val="center"/>
              <w:rPr>
                <w:rFonts w:ascii="Arial" w:hAnsi="Arial" w:cs="Arial"/>
                <w:b/>
                <w:bCs/>
                <w:iCs/>
                <w:color w:val="0070C0"/>
                <w:sz w:val="24"/>
                <w:szCs w:val="20"/>
              </w:rPr>
            </w:pPr>
            <w:r>
              <w:rPr>
                <w:rFonts w:ascii="Arial" w:hAnsi="Arial" w:cs="Arial"/>
                <w:b/>
                <w:bCs/>
                <w:iCs/>
                <w:color w:val="0070C0"/>
                <w:sz w:val="24"/>
                <w:szCs w:val="20"/>
              </w:rPr>
              <w:t>Lives:</w:t>
            </w:r>
          </w:p>
        </w:tc>
      </w:tr>
      <w:tr>
        <w:trPr>
          <w:trHeight w:val="2859"/>
        </w:trPr>
        <w:tc>
          <w:tcPr>
            <w:tcW w:w="5243" w:type="dxa"/>
          </w:tcPr>
          <w:p>
            <w:pPr>
              <w:rPr>
                <w:rFonts w:ascii="Arial" w:eastAsia="Calibri" w:hAnsi="Arial" w:cs="Arial"/>
                <w:b/>
                <w:sz w:val="20"/>
                <w:szCs w:val="20"/>
                <w:lang w:eastAsia="en-GB"/>
              </w:rPr>
            </w:pPr>
            <w:r>
              <w:rPr>
                <w:rFonts w:ascii="Arial" w:eastAsia="Calibri" w:hAnsi="Arial" w:cs="Arial"/>
                <w:sz w:val="20"/>
                <w:szCs w:val="20"/>
                <w:lang w:eastAsia="en-GB"/>
              </w:rPr>
              <w:t xml:space="preserve">Children are individuals and come from a range of social backgrounds. They enjoy school, and some are keen to share their achievements. The typical learner spends much of their time on technology, keeping up with their peers playing the latest games. This can impact on </w:t>
            </w:r>
            <w:r>
              <w:rPr>
                <w:rFonts w:ascii="Arial" w:eastAsia="Calibri" w:hAnsi="Arial" w:cs="Arial"/>
                <w:b/>
                <w:sz w:val="20"/>
                <w:szCs w:val="20"/>
                <w:lang w:eastAsia="en-GB"/>
              </w:rPr>
              <w:t>vocabulary and  spoken and written language.</w:t>
            </w:r>
          </w:p>
          <w:p>
            <w:pPr>
              <w:rPr>
                <w:rFonts w:ascii="Arial" w:eastAsia="Calibri" w:hAnsi="Arial" w:cs="Arial"/>
                <w:b/>
                <w:sz w:val="20"/>
                <w:szCs w:val="20"/>
                <w:lang w:eastAsia="en-GB"/>
              </w:rPr>
            </w:pPr>
          </w:p>
          <w:p>
            <w:pPr>
              <w:rPr>
                <w:rFonts w:ascii="Arial" w:eastAsia="Calibri" w:hAnsi="Arial" w:cs="Arial"/>
                <w:sz w:val="20"/>
                <w:szCs w:val="20"/>
                <w:lang w:eastAsia="en-GB"/>
              </w:rPr>
            </w:pPr>
            <w:r>
              <w:rPr>
                <w:rFonts w:ascii="Arial" w:eastAsia="Calibri" w:hAnsi="Arial" w:cs="Arial"/>
                <w:sz w:val="20"/>
                <w:szCs w:val="20"/>
                <w:lang w:eastAsia="en-GB"/>
              </w:rPr>
              <w:t xml:space="preserve">To meet the needs of our community of learners, the curriculum is based around providing </w:t>
            </w:r>
            <w:r>
              <w:rPr>
                <w:rFonts w:ascii="Arial" w:eastAsia="Calibri" w:hAnsi="Arial" w:cs="Arial"/>
                <w:b/>
                <w:sz w:val="20"/>
                <w:szCs w:val="20"/>
                <w:lang w:eastAsia="en-GB"/>
              </w:rPr>
              <w:t>language rich opportunities, with story and reading at its heart</w:t>
            </w:r>
            <w:r>
              <w:rPr>
                <w:rFonts w:ascii="Arial" w:eastAsia="Calibri" w:hAnsi="Arial" w:cs="Arial"/>
                <w:sz w:val="20"/>
                <w:szCs w:val="20"/>
                <w:lang w:eastAsia="en-GB"/>
              </w:rPr>
              <w:t xml:space="preserve">. </w:t>
            </w:r>
          </w:p>
        </w:tc>
        <w:tc>
          <w:tcPr>
            <w:tcW w:w="5243" w:type="dxa"/>
          </w:tcPr>
          <w:p>
            <w:pPr>
              <w:rPr>
                <w:rFonts w:ascii="Arial" w:eastAsia="Calibri" w:hAnsi="Arial" w:cs="Arial"/>
                <w:sz w:val="20"/>
                <w:szCs w:val="20"/>
                <w:lang w:eastAsia="en-GB"/>
              </w:rPr>
            </w:pPr>
            <w:r>
              <w:rPr>
                <w:rFonts w:ascii="Arial" w:eastAsia="Calibri" w:hAnsi="Arial" w:cs="Arial"/>
                <w:sz w:val="20"/>
                <w:szCs w:val="20"/>
                <w:lang w:eastAsia="en-GB"/>
              </w:rPr>
              <w:t xml:space="preserve">The typical learner spends much of their time on technology, keeping up with their peers playing the latest games. Although some children have access to more traditional and outdoor pastimes, many do not. This can impact on general knowledge, and learning behaviours. Children sometimes lack </w:t>
            </w:r>
            <w:r>
              <w:rPr>
                <w:rFonts w:ascii="Arial" w:eastAsia="Calibri" w:hAnsi="Arial" w:cs="Arial"/>
                <w:b/>
                <w:sz w:val="20"/>
                <w:szCs w:val="20"/>
                <w:lang w:eastAsia="en-GB"/>
              </w:rPr>
              <w:t>resilience</w:t>
            </w:r>
            <w:r>
              <w:rPr>
                <w:rFonts w:ascii="Arial" w:eastAsia="Calibri" w:hAnsi="Arial" w:cs="Arial"/>
                <w:sz w:val="20"/>
                <w:szCs w:val="20"/>
                <w:lang w:eastAsia="en-GB"/>
              </w:rPr>
              <w:t xml:space="preserve"> as learners, often giving up if learning is </w:t>
            </w:r>
            <w:r>
              <w:rPr>
                <w:rFonts w:ascii="Arial" w:eastAsia="Calibri" w:hAnsi="Arial" w:cs="Arial"/>
                <w:b/>
                <w:sz w:val="20"/>
                <w:szCs w:val="20"/>
                <w:lang w:eastAsia="en-GB"/>
              </w:rPr>
              <w:t>challenging</w:t>
            </w:r>
            <w:r>
              <w:rPr>
                <w:rFonts w:ascii="Arial" w:eastAsia="Calibri" w:hAnsi="Arial" w:cs="Arial"/>
                <w:sz w:val="20"/>
                <w:szCs w:val="20"/>
                <w:lang w:eastAsia="en-GB"/>
              </w:rPr>
              <w:t xml:space="preserve">. </w:t>
            </w:r>
          </w:p>
          <w:p>
            <w:pPr>
              <w:rPr>
                <w:rFonts w:ascii="Arial" w:eastAsia="Calibri" w:hAnsi="Arial" w:cs="Arial"/>
                <w:sz w:val="20"/>
                <w:szCs w:val="20"/>
                <w:lang w:eastAsia="en-GB"/>
              </w:rPr>
            </w:pPr>
          </w:p>
          <w:p>
            <w:pPr>
              <w:rPr>
                <w:rFonts w:ascii="Arial" w:eastAsia="Calibri" w:hAnsi="Arial" w:cs="Arial"/>
                <w:sz w:val="20"/>
                <w:szCs w:val="20"/>
                <w:lang w:eastAsia="en-GB"/>
              </w:rPr>
            </w:pPr>
            <w:r>
              <w:rPr>
                <w:rFonts w:ascii="Arial" w:eastAsia="Calibri" w:hAnsi="Arial" w:cs="Arial"/>
                <w:sz w:val="20"/>
                <w:szCs w:val="20"/>
                <w:lang w:eastAsia="en-GB"/>
              </w:rPr>
              <w:t xml:space="preserve">There is a focus on </w:t>
            </w:r>
            <w:r>
              <w:rPr>
                <w:rFonts w:ascii="Arial" w:eastAsia="Calibri" w:hAnsi="Arial" w:cs="Arial"/>
                <w:b/>
                <w:sz w:val="20"/>
                <w:szCs w:val="20"/>
                <w:lang w:eastAsia="en-GB"/>
              </w:rPr>
              <w:t>Growth Mindsets</w:t>
            </w:r>
            <w:r>
              <w:rPr>
                <w:rFonts w:ascii="Arial" w:eastAsia="Calibri" w:hAnsi="Arial" w:cs="Arial"/>
                <w:sz w:val="20"/>
                <w:szCs w:val="20"/>
                <w:lang w:eastAsia="en-GB"/>
              </w:rPr>
              <w:t xml:space="preserve"> to promote resilience; and the understanding that failure leads to new learning and is exciting. </w:t>
            </w:r>
          </w:p>
        </w:tc>
        <w:tc>
          <w:tcPr>
            <w:tcW w:w="5244" w:type="dxa"/>
          </w:tcPr>
          <w:p>
            <w:pPr>
              <w:rPr>
                <w:rFonts w:ascii="Arial" w:hAnsi="Arial" w:cs="Arial"/>
                <w:bCs/>
                <w:iCs/>
                <w:sz w:val="20"/>
                <w:szCs w:val="20"/>
              </w:rPr>
            </w:pPr>
            <w:r>
              <w:rPr>
                <w:rFonts w:ascii="Arial" w:eastAsia="Calibri" w:hAnsi="Arial" w:cs="Arial"/>
                <w:sz w:val="20"/>
                <w:szCs w:val="20"/>
                <w:lang w:eastAsia="en-GB"/>
              </w:rPr>
              <w:t xml:space="preserve">The typical learner spends much of their time on technology, keeping up with their peers playing the latest games. Although some children have access to more traditional and outdoor pastimes, some do not. This can impact on </w:t>
            </w:r>
            <w:r>
              <w:rPr>
                <w:rFonts w:ascii="Arial" w:eastAsia="Calibri" w:hAnsi="Arial" w:cs="Arial"/>
                <w:b/>
                <w:sz w:val="20"/>
                <w:szCs w:val="20"/>
                <w:lang w:eastAsia="en-GB"/>
              </w:rPr>
              <w:t>social skills and aspiration</w:t>
            </w:r>
            <w:r>
              <w:rPr>
                <w:rFonts w:ascii="Arial" w:eastAsia="Calibri" w:hAnsi="Arial" w:cs="Arial"/>
                <w:sz w:val="20"/>
                <w:szCs w:val="20"/>
                <w:lang w:eastAsia="en-GB"/>
              </w:rPr>
              <w:t xml:space="preserve">. </w:t>
            </w:r>
          </w:p>
        </w:tc>
      </w:tr>
      <w:tr>
        <w:trPr>
          <w:trHeight w:val="1074"/>
        </w:trPr>
        <w:tc>
          <w:tcPr>
            <w:tcW w:w="5243" w:type="dxa"/>
          </w:tcPr>
          <w:p>
            <w:pPr>
              <w:rPr>
                <w:rFonts w:ascii="Arial" w:hAnsi="Arial" w:cs="Arial"/>
                <w:bCs/>
                <w:iCs/>
                <w:sz w:val="20"/>
                <w:szCs w:val="20"/>
              </w:rPr>
            </w:pPr>
            <w:r>
              <w:rPr>
                <w:rFonts w:ascii="Arial" w:hAnsi="Arial" w:cs="Arial"/>
                <w:bCs/>
                <w:iCs/>
                <w:sz w:val="20"/>
                <w:szCs w:val="20"/>
              </w:rPr>
              <w:t xml:space="preserve">For children to develop a </w:t>
            </w:r>
            <w:r>
              <w:rPr>
                <w:rFonts w:ascii="Arial" w:hAnsi="Arial" w:cs="Arial"/>
                <w:b/>
                <w:bCs/>
                <w:iCs/>
                <w:sz w:val="20"/>
                <w:szCs w:val="20"/>
              </w:rPr>
              <w:t>love of language and stories</w:t>
            </w:r>
            <w:r>
              <w:rPr>
                <w:rFonts w:ascii="Arial" w:hAnsi="Arial" w:cs="Arial"/>
                <w:bCs/>
                <w:iCs/>
                <w:sz w:val="20"/>
                <w:szCs w:val="20"/>
              </w:rPr>
              <w:t xml:space="preserve"> and use an </w:t>
            </w:r>
            <w:r>
              <w:rPr>
                <w:rFonts w:ascii="Arial" w:hAnsi="Arial" w:cs="Arial"/>
                <w:b/>
                <w:bCs/>
                <w:iCs/>
                <w:sz w:val="20"/>
                <w:szCs w:val="20"/>
              </w:rPr>
              <w:t>extensive, rich vocabulary</w:t>
            </w:r>
            <w:r>
              <w:rPr>
                <w:rFonts w:ascii="Arial" w:hAnsi="Arial" w:cs="Arial"/>
                <w:bCs/>
                <w:iCs/>
                <w:sz w:val="20"/>
                <w:szCs w:val="20"/>
              </w:rPr>
              <w:t>.</w:t>
            </w:r>
          </w:p>
        </w:tc>
        <w:tc>
          <w:tcPr>
            <w:tcW w:w="5243" w:type="dxa"/>
          </w:tcPr>
          <w:p>
            <w:pPr>
              <w:rPr>
                <w:rFonts w:ascii="Arial" w:hAnsi="Arial" w:cs="Arial"/>
                <w:bCs/>
                <w:iCs/>
                <w:sz w:val="20"/>
                <w:szCs w:val="20"/>
              </w:rPr>
            </w:pPr>
            <w:r>
              <w:rPr>
                <w:rFonts w:ascii="Arial" w:hAnsi="Arial" w:cs="Arial"/>
                <w:bCs/>
                <w:iCs/>
                <w:sz w:val="20"/>
                <w:szCs w:val="20"/>
              </w:rPr>
              <w:t xml:space="preserve">For our community to love learning, know who they are as learners and challenge themselves to extend and deepen this learning through becoming </w:t>
            </w:r>
            <w:r>
              <w:rPr>
                <w:rFonts w:ascii="Arial" w:hAnsi="Arial" w:cs="Arial"/>
                <w:b/>
                <w:bCs/>
                <w:iCs/>
                <w:sz w:val="20"/>
                <w:szCs w:val="20"/>
              </w:rPr>
              <w:t>Leaders of Learning.</w:t>
            </w:r>
          </w:p>
        </w:tc>
        <w:tc>
          <w:tcPr>
            <w:tcW w:w="5244" w:type="dxa"/>
          </w:tcPr>
          <w:p>
            <w:pPr>
              <w:rPr>
                <w:rFonts w:ascii="Arial" w:hAnsi="Arial" w:cs="Arial"/>
                <w:bCs/>
                <w:iCs/>
                <w:sz w:val="20"/>
                <w:szCs w:val="20"/>
              </w:rPr>
            </w:pPr>
            <w:r>
              <w:rPr>
                <w:rFonts w:ascii="Arial" w:hAnsi="Arial" w:cs="Arial"/>
                <w:bCs/>
                <w:iCs/>
                <w:sz w:val="20"/>
                <w:szCs w:val="20"/>
              </w:rPr>
              <w:t xml:space="preserve">To be a community, supportive of each other, living by our value of </w:t>
            </w:r>
            <w:r>
              <w:rPr>
                <w:rFonts w:ascii="Arial" w:hAnsi="Arial" w:cs="Arial"/>
                <w:b/>
                <w:bCs/>
                <w:iCs/>
                <w:sz w:val="20"/>
                <w:szCs w:val="20"/>
              </w:rPr>
              <w:t>respect</w:t>
            </w:r>
            <w:r>
              <w:rPr>
                <w:rFonts w:ascii="Arial" w:hAnsi="Arial" w:cs="Arial"/>
                <w:bCs/>
                <w:iCs/>
                <w:sz w:val="20"/>
                <w:szCs w:val="20"/>
              </w:rPr>
              <w:t>.</w:t>
            </w:r>
          </w:p>
        </w:tc>
      </w:tr>
      <w:tr>
        <w:trPr>
          <w:trHeight w:val="2935"/>
        </w:trPr>
        <w:tc>
          <w:tcPr>
            <w:tcW w:w="5243" w:type="dxa"/>
          </w:tcPr>
          <w:p>
            <w:pPr>
              <w:rPr>
                <w:rFonts w:ascii="Arial" w:hAnsi="Arial" w:cs="Arial"/>
                <w:b/>
                <w:bCs/>
                <w:sz w:val="20"/>
                <w:szCs w:val="20"/>
              </w:rPr>
            </w:pPr>
            <w:r>
              <w:rPr>
                <w:rFonts w:ascii="Arial" w:hAnsi="Arial" w:cs="Arial"/>
                <w:b/>
                <w:bCs/>
                <w:sz w:val="20"/>
                <w:szCs w:val="20"/>
              </w:rPr>
              <w:t>Vocabulary Enrichment:</w:t>
            </w:r>
          </w:p>
          <w:p>
            <w:pPr>
              <w:pStyle w:val="ListParagraph"/>
              <w:numPr>
                <w:ilvl w:val="0"/>
                <w:numId w:val="3"/>
              </w:numPr>
              <w:spacing w:after="0"/>
              <w:rPr>
                <w:rFonts w:ascii="Arial" w:hAnsi="Arial" w:cs="Arial"/>
                <w:bCs/>
                <w:sz w:val="20"/>
                <w:szCs w:val="20"/>
              </w:rPr>
            </w:pPr>
            <w:r>
              <w:rPr>
                <w:rFonts w:ascii="Arial" w:hAnsi="Arial" w:cs="Arial"/>
                <w:bCs/>
                <w:sz w:val="20"/>
                <w:szCs w:val="20"/>
              </w:rPr>
              <w:t>School Curriculum</w:t>
            </w:r>
          </w:p>
          <w:p>
            <w:pPr>
              <w:pStyle w:val="ListParagraph"/>
              <w:numPr>
                <w:ilvl w:val="0"/>
                <w:numId w:val="3"/>
              </w:numPr>
              <w:spacing w:after="0"/>
              <w:rPr>
                <w:rFonts w:ascii="Arial" w:hAnsi="Arial" w:cs="Arial"/>
                <w:bCs/>
                <w:sz w:val="20"/>
                <w:szCs w:val="20"/>
              </w:rPr>
            </w:pPr>
            <w:r>
              <w:rPr>
                <w:rFonts w:ascii="Arial" w:hAnsi="Arial" w:cs="Arial"/>
                <w:bCs/>
                <w:sz w:val="20"/>
                <w:szCs w:val="20"/>
              </w:rPr>
              <w:t>Accelerated Reader</w:t>
            </w:r>
          </w:p>
          <w:p>
            <w:pPr>
              <w:pStyle w:val="ListParagraph"/>
              <w:numPr>
                <w:ilvl w:val="0"/>
                <w:numId w:val="3"/>
              </w:numPr>
              <w:spacing w:after="0"/>
              <w:rPr>
                <w:rFonts w:ascii="Arial" w:hAnsi="Arial" w:cs="Arial"/>
                <w:bCs/>
                <w:sz w:val="20"/>
                <w:szCs w:val="20"/>
              </w:rPr>
            </w:pPr>
            <w:r>
              <w:rPr>
                <w:rFonts w:ascii="Arial" w:hAnsi="Arial" w:cs="Arial"/>
                <w:bCs/>
                <w:sz w:val="20"/>
                <w:szCs w:val="20"/>
              </w:rPr>
              <w:t>The Write Stuff</w:t>
            </w:r>
          </w:p>
          <w:p>
            <w:pPr>
              <w:pStyle w:val="ListParagraph"/>
              <w:numPr>
                <w:ilvl w:val="0"/>
                <w:numId w:val="3"/>
              </w:numPr>
              <w:spacing w:after="0"/>
              <w:rPr>
                <w:rFonts w:ascii="Arial" w:hAnsi="Arial" w:cs="Arial"/>
                <w:bCs/>
                <w:sz w:val="20"/>
                <w:szCs w:val="20"/>
              </w:rPr>
            </w:pPr>
            <w:r>
              <w:rPr>
                <w:rFonts w:ascii="Arial" w:hAnsi="Arial" w:cs="Arial"/>
                <w:bCs/>
                <w:sz w:val="20"/>
                <w:szCs w:val="20"/>
              </w:rPr>
              <w:t>Reading Comprehension</w:t>
            </w:r>
          </w:p>
          <w:p>
            <w:pPr>
              <w:pStyle w:val="ListParagraph"/>
              <w:numPr>
                <w:ilvl w:val="0"/>
                <w:numId w:val="3"/>
              </w:numPr>
              <w:spacing w:after="0"/>
              <w:rPr>
                <w:rFonts w:ascii="Arial" w:hAnsi="Arial" w:cs="Arial"/>
                <w:b/>
                <w:bCs/>
                <w:sz w:val="20"/>
                <w:szCs w:val="20"/>
              </w:rPr>
            </w:pPr>
            <w:r>
              <w:rPr>
                <w:rFonts w:ascii="Arial" w:hAnsi="Arial" w:cs="Arial"/>
                <w:bCs/>
                <w:sz w:val="20"/>
                <w:szCs w:val="20"/>
              </w:rPr>
              <w:t>Word of the Week</w:t>
            </w:r>
          </w:p>
          <w:p>
            <w:pPr>
              <w:pStyle w:val="ListParagraph"/>
              <w:numPr>
                <w:ilvl w:val="0"/>
                <w:numId w:val="3"/>
              </w:numPr>
              <w:spacing w:after="0"/>
              <w:rPr>
                <w:rFonts w:ascii="Arial" w:hAnsi="Arial" w:cs="Arial"/>
                <w:bCs/>
                <w:sz w:val="20"/>
                <w:szCs w:val="20"/>
              </w:rPr>
            </w:pPr>
            <w:r>
              <w:rPr>
                <w:rFonts w:ascii="Arial" w:hAnsi="Arial" w:cs="Arial"/>
                <w:bCs/>
                <w:sz w:val="20"/>
                <w:szCs w:val="20"/>
              </w:rPr>
              <w:t>Environment</w:t>
            </w:r>
          </w:p>
          <w:p>
            <w:pPr>
              <w:pStyle w:val="ListParagraph"/>
              <w:numPr>
                <w:ilvl w:val="0"/>
                <w:numId w:val="3"/>
              </w:numPr>
              <w:spacing w:after="0"/>
              <w:rPr>
                <w:rFonts w:ascii="Arial" w:hAnsi="Arial" w:cs="Arial"/>
                <w:b/>
                <w:bCs/>
                <w:sz w:val="20"/>
                <w:szCs w:val="20"/>
              </w:rPr>
            </w:pPr>
            <w:r>
              <w:rPr>
                <w:rFonts w:ascii="Arial" w:hAnsi="Arial" w:cs="Arial"/>
                <w:bCs/>
                <w:sz w:val="20"/>
                <w:szCs w:val="20"/>
              </w:rPr>
              <w:t>Read, Write, Inc</w:t>
            </w:r>
          </w:p>
          <w:p>
            <w:pPr>
              <w:pStyle w:val="ListParagraph"/>
              <w:numPr>
                <w:ilvl w:val="0"/>
                <w:numId w:val="3"/>
              </w:numPr>
              <w:spacing w:after="0"/>
              <w:rPr>
                <w:rFonts w:ascii="Arial" w:hAnsi="Arial" w:cs="Arial"/>
                <w:bCs/>
                <w:sz w:val="20"/>
                <w:szCs w:val="20"/>
              </w:rPr>
            </w:pPr>
            <w:r>
              <w:rPr>
                <w:rFonts w:ascii="Arial" w:hAnsi="Arial" w:cs="Arial"/>
                <w:bCs/>
                <w:sz w:val="20"/>
                <w:szCs w:val="20"/>
              </w:rPr>
              <w:t>High Utility Words</w:t>
            </w:r>
          </w:p>
          <w:p>
            <w:pPr>
              <w:pStyle w:val="ListParagraph"/>
              <w:numPr>
                <w:ilvl w:val="0"/>
                <w:numId w:val="3"/>
              </w:numPr>
              <w:spacing w:after="0"/>
              <w:rPr>
                <w:rFonts w:ascii="Arial" w:hAnsi="Arial" w:cs="Arial"/>
                <w:b/>
                <w:bCs/>
                <w:sz w:val="20"/>
                <w:szCs w:val="20"/>
              </w:rPr>
            </w:pPr>
            <w:r>
              <w:rPr>
                <w:rFonts w:ascii="Arial" w:hAnsi="Arial" w:cs="Arial"/>
                <w:bCs/>
                <w:sz w:val="20"/>
                <w:szCs w:val="20"/>
              </w:rPr>
              <w:t>Reading</w:t>
            </w:r>
          </w:p>
          <w:p>
            <w:pPr>
              <w:pStyle w:val="ListParagraph"/>
              <w:numPr>
                <w:ilvl w:val="0"/>
                <w:numId w:val="3"/>
              </w:numPr>
              <w:spacing w:after="0"/>
              <w:rPr>
                <w:rFonts w:ascii="Arial" w:hAnsi="Arial" w:cs="Arial"/>
                <w:b/>
                <w:bCs/>
                <w:sz w:val="20"/>
                <w:szCs w:val="20"/>
              </w:rPr>
            </w:pPr>
            <w:r>
              <w:rPr>
                <w:rFonts w:ascii="Arial" w:hAnsi="Arial" w:cs="Arial"/>
                <w:bCs/>
                <w:sz w:val="20"/>
                <w:szCs w:val="20"/>
              </w:rPr>
              <w:t>Book Talk</w:t>
            </w:r>
          </w:p>
          <w:p>
            <w:pPr>
              <w:pStyle w:val="ListParagraph"/>
              <w:numPr>
                <w:ilvl w:val="0"/>
                <w:numId w:val="3"/>
              </w:numPr>
              <w:spacing w:after="0"/>
              <w:rPr>
                <w:rFonts w:ascii="Arial" w:hAnsi="Arial" w:cs="Arial"/>
                <w:b/>
                <w:bCs/>
                <w:sz w:val="20"/>
                <w:szCs w:val="20"/>
              </w:rPr>
            </w:pPr>
            <w:r>
              <w:rPr>
                <w:rFonts w:ascii="Arial" w:hAnsi="Arial" w:cs="Arial"/>
                <w:bCs/>
                <w:sz w:val="20"/>
                <w:szCs w:val="20"/>
              </w:rPr>
              <w:t>Expert Subject learning</w:t>
            </w:r>
          </w:p>
        </w:tc>
        <w:tc>
          <w:tcPr>
            <w:tcW w:w="5243" w:type="dxa"/>
          </w:tcPr>
          <w:p>
            <w:pPr>
              <w:rPr>
                <w:rFonts w:ascii="Arial" w:eastAsia="Calibri" w:hAnsi="Arial" w:cs="Arial"/>
                <w:b/>
                <w:sz w:val="20"/>
                <w:szCs w:val="20"/>
                <w:lang w:eastAsia="en-GB"/>
              </w:rPr>
            </w:pPr>
            <w:r>
              <w:rPr>
                <w:rFonts w:ascii="Arial" w:eastAsia="Calibri" w:hAnsi="Arial" w:cs="Arial"/>
                <w:b/>
                <w:sz w:val="20"/>
                <w:szCs w:val="20"/>
                <w:lang w:eastAsia="en-GB"/>
              </w:rPr>
              <w:t>Factors of Effective Learning:</w:t>
            </w:r>
          </w:p>
          <w:p>
            <w:pPr>
              <w:pStyle w:val="ListParagraph"/>
              <w:numPr>
                <w:ilvl w:val="0"/>
                <w:numId w:val="1"/>
              </w:numPr>
              <w:spacing w:after="0" w:line="240" w:lineRule="auto"/>
              <w:rPr>
                <w:rFonts w:ascii="Arial" w:eastAsia="Calibri" w:hAnsi="Arial" w:cs="Arial"/>
                <w:sz w:val="20"/>
                <w:szCs w:val="20"/>
                <w:lang w:eastAsia="en-GB"/>
              </w:rPr>
            </w:pPr>
            <w:r>
              <w:rPr>
                <w:rFonts w:ascii="Arial" w:eastAsia="Calibri" w:hAnsi="Arial" w:cs="Arial"/>
                <w:sz w:val="20"/>
                <w:szCs w:val="20"/>
                <w:lang w:eastAsia="en-GB"/>
              </w:rPr>
              <w:t xml:space="preserve">Accountability, </w:t>
            </w:r>
          </w:p>
          <w:p>
            <w:pPr>
              <w:pStyle w:val="ListParagraph"/>
              <w:numPr>
                <w:ilvl w:val="0"/>
                <w:numId w:val="1"/>
              </w:numPr>
              <w:spacing w:after="0" w:line="240" w:lineRule="auto"/>
              <w:rPr>
                <w:rFonts w:ascii="Arial" w:eastAsia="Calibri" w:hAnsi="Arial" w:cs="Arial"/>
                <w:sz w:val="20"/>
                <w:szCs w:val="20"/>
                <w:lang w:eastAsia="en-GB"/>
              </w:rPr>
            </w:pPr>
            <w:r>
              <w:rPr>
                <w:rFonts w:ascii="Arial" w:eastAsia="Calibri" w:hAnsi="Arial" w:cs="Arial"/>
                <w:sz w:val="20"/>
                <w:szCs w:val="20"/>
                <w:lang w:eastAsia="en-GB"/>
              </w:rPr>
              <w:t xml:space="preserve">Adaptability, </w:t>
            </w:r>
          </w:p>
          <w:p>
            <w:pPr>
              <w:pStyle w:val="ListParagraph"/>
              <w:numPr>
                <w:ilvl w:val="0"/>
                <w:numId w:val="1"/>
              </w:numPr>
              <w:spacing w:after="0" w:line="240" w:lineRule="auto"/>
              <w:rPr>
                <w:rFonts w:ascii="Arial" w:eastAsia="Calibri" w:hAnsi="Arial" w:cs="Arial"/>
                <w:sz w:val="20"/>
                <w:szCs w:val="20"/>
                <w:lang w:eastAsia="en-GB"/>
              </w:rPr>
            </w:pPr>
            <w:r>
              <w:rPr>
                <w:rFonts w:ascii="Arial" w:eastAsia="Calibri" w:hAnsi="Arial" w:cs="Arial"/>
                <w:sz w:val="20"/>
                <w:szCs w:val="20"/>
                <w:lang w:eastAsia="en-GB"/>
              </w:rPr>
              <w:t xml:space="preserve">Knowledge, </w:t>
            </w:r>
          </w:p>
          <w:p>
            <w:pPr>
              <w:pStyle w:val="ListParagraph"/>
              <w:numPr>
                <w:ilvl w:val="0"/>
                <w:numId w:val="1"/>
              </w:numPr>
              <w:spacing w:after="0" w:line="240" w:lineRule="auto"/>
              <w:rPr>
                <w:rFonts w:ascii="Arial" w:eastAsia="Calibri" w:hAnsi="Arial" w:cs="Arial"/>
                <w:sz w:val="20"/>
                <w:szCs w:val="20"/>
                <w:lang w:eastAsia="en-GB"/>
              </w:rPr>
            </w:pPr>
            <w:r>
              <w:rPr>
                <w:rFonts w:ascii="Arial" w:eastAsia="Calibri" w:hAnsi="Arial" w:cs="Arial"/>
                <w:sz w:val="20"/>
                <w:szCs w:val="20"/>
                <w:lang w:eastAsia="en-GB"/>
              </w:rPr>
              <w:t xml:space="preserve">Language for Learning, </w:t>
            </w:r>
          </w:p>
          <w:p>
            <w:pPr>
              <w:pStyle w:val="ListParagraph"/>
              <w:numPr>
                <w:ilvl w:val="0"/>
                <w:numId w:val="1"/>
              </w:numPr>
              <w:spacing w:after="0" w:line="240" w:lineRule="auto"/>
              <w:rPr>
                <w:rFonts w:ascii="Arial" w:eastAsia="Calibri" w:hAnsi="Arial" w:cs="Arial"/>
                <w:sz w:val="20"/>
                <w:szCs w:val="20"/>
                <w:lang w:eastAsia="en-GB"/>
              </w:rPr>
            </w:pPr>
            <w:r>
              <w:rPr>
                <w:rFonts w:ascii="Arial" w:eastAsia="Calibri" w:hAnsi="Arial" w:cs="Arial"/>
                <w:sz w:val="20"/>
                <w:szCs w:val="20"/>
                <w:lang w:eastAsia="en-GB"/>
              </w:rPr>
              <w:t xml:space="preserve">Passion, </w:t>
            </w:r>
          </w:p>
          <w:p>
            <w:pPr>
              <w:pStyle w:val="ListParagraph"/>
              <w:numPr>
                <w:ilvl w:val="0"/>
                <w:numId w:val="1"/>
              </w:numPr>
              <w:spacing w:after="0" w:line="240" w:lineRule="auto"/>
              <w:rPr>
                <w:rFonts w:ascii="Arial" w:eastAsia="Calibri" w:hAnsi="Arial" w:cs="Arial"/>
                <w:sz w:val="20"/>
                <w:szCs w:val="20"/>
                <w:lang w:eastAsia="en-GB"/>
              </w:rPr>
            </w:pPr>
            <w:r>
              <w:rPr>
                <w:rFonts w:ascii="Arial" w:eastAsia="Calibri" w:hAnsi="Arial" w:cs="Arial"/>
                <w:sz w:val="20"/>
                <w:szCs w:val="20"/>
                <w:lang w:eastAsia="en-GB"/>
              </w:rPr>
              <w:t>Relationships.</w:t>
            </w:r>
          </w:p>
          <w:p>
            <w:pPr>
              <w:rPr>
                <w:rFonts w:ascii="Arial" w:hAnsi="Arial" w:cs="Arial"/>
                <w:b/>
                <w:bCs/>
                <w:sz w:val="20"/>
                <w:szCs w:val="20"/>
              </w:rPr>
            </w:pPr>
          </w:p>
        </w:tc>
        <w:tc>
          <w:tcPr>
            <w:tcW w:w="5244" w:type="dxa"/>
          </w:tcPr>
          <w:p>
            <w:pPr>
              <w:rPr>
                <w:rFonts w:ascii="Arial" w:hAnsi="Arial" w:cs="Arial"/>
                <w:b/>
                <w:bCs/>
                <w:sz w:val="20"/>
                <w:szCs w:val="20"/>
              </w:rPr>
            </w:pPr>
            <w:r>
              <w:rPr>
                <w:rFonts w:ascii="Arial" w:hAnsi="Arial" w:cs="Arial"/>
                <w:b/>
                <w:bCs/>
                <w:sz w:val="20"/>
                <w:szCs w:val="20"/>
              </w:rPr>
              <w:t>Respect:</w:t>
            </w:r>
          </w:p>
          <w:p>
            <w:pPr>
              <w:pStyle w:val="ListParagraph"/>
              <w:numPr>
                <w:ilvl w:val="0"/>
                <w:numId w:val="2"/>
              </w:numPr>
              <w:spacing w:after="0"/>
              <w:rPr>
                <w:rFonts w:ascii="Arial" w:hAnsi="Arial" w:cs="Arial"/>
                <w:bCs/>
                <w:sz w:val="20"/>
                <w:szCs w:val="20"/>
              </w:rPr>
            </w:pPr>
            <w:r>
              <w:rPr>
                <w:rFonts w:ascii="Arial" w:hAnsi="Arial" w:cs="Arial"/>
                <w:bCs/>
                <w:sz w:val="20"/>
                <w:szCs w:val="20"/>
              </w:rPr>
              <w:t>Responsible</w:t>
            </w:r>
          </w:p>
          <w:p>
            <w:pPr>
              <w:pStyle w:val="ListParagraph"/>
              <w:numPr>
                <w:ilvl w:val="0"/>
                <w:numId w:val="2"/>
              </w:numPr>
              <w:spacing w:after="0"/>
              <w:rPr>
                <w:rFonts w:ascii="Arial" w:hAnsi="Arial" w:cs="Arial"/>
                <w:bCs/>
                <w:sz w:val="20"/>
                <w:szCs w:val="20"/>
              </w:rPr>
            </w:pPr>
            <w:r>
              <w:rPr>
                <w:rFonts w:ascii="Arial" w:hAnsi="Arial" w:cs="Arial"/>
                <w:bCs/>
                <w:sz w:val="20"/>
                <w:szCs w:val="20"/>
              </w:rPr>
              <w:t>Empathetic</w:t>
            </w:r>
          </w:p>
          <w:p>
            <w:pPr>
              <w:pStyle w:val="ListParagraph"/>
              <w:numPr>
                <w:ilvl w:val="0"/>
                <w:numId w:val="2"/>
              </w:numPr>
              <w:spacing w:after="0"/>
              <w:rPr>
                <w:rFonts w:ascii="Arial" w:hAnsi="Arial" w:cs="Arial"/>
                <w:bCs/>
                <w:sz w:val="20"/>
                <w:szCs w:val="20"/>
              </w:rPr>
            </w:pPr>
            <w:r>
              <w:rPr>
                <w:rFonts w:ascii="Arial" w:hAnsi="Arial" w:cs="Arial"/>
                <w:bCs/>
                <w:sz w:val="20"/>
                <w:szCs w:val="20"/>
              </w:rPr>
              <w:t>Successful</w:t>
            </w:r>
          </w:p>
          <w:p>
            <w:pPr>
              <w:pStyle w:val="ListParagraph"/>
              <w:numPr>
                <w:ilvl w:val="0"/>
                <w:numId w:val="2"/>
              </w:numPr>
              <w:spacing w:after="0"/>
              <w:rPr>
                <w:rFonts w:ascii="Arial" w:hAnsi="Arial" w:cs="Arial"/>
                <w:bCs/>
                <w:sz w:val="20"/>
                <w:szCs w:val="20"/>
              </w:rPr>
            </w:pPr>
            <w:r>
              <w:rPr>
                <w:rFonts w:ascii="Arial" w:hAnsi="Arial" w:cs="Arial"/>
                <w:bCs/>
                <w:sz w:val="20"/>
                <w:szCs w:val="20"/>
              </w:rPr>
              <w:t>Problem-Solvers</w:t>
            </w:r>
          </w:p>
          <w:p>
            <w:pPr>
              <w:pStyle w:val="ListParagraph"/>
              <w:numPr>
                <w:ilvl w:val="0"/>
                <w:numId w:val="2"/>
              </w:numPr>
              <w:spacing w:after="0"/>
              <w:rPr>
                <w:rFonts w:ascii="Arial" w:hAnsi="Arial" w:cs="Arial"/>
                <w:bCs/>
                <w:sz w:val="20"/>
                <w:szCs w:val="20"/>
              </w:rPr>
            </w:pPr>
            <w:r>
              <w:rPr>
                <w:rFonts w:ascii="Arial" w:hAnsi="Arial" w:cs="Arial"/>
                <w:bCs/>
                <w:sz w:val="20"/>
                <w:szCs w:val="20"/>
              </w:rPr>
              <w:t>Enterprising</w:t>
            </w:r>
          </w:p>
          <w:p>
            <w:pPr>
              <w:pStyle w:val="ListParagraph"/>
              <w:numPr>
                <w:ilvl w:val="0"/>
                <w:numId w:val="2"/>
              </w:numPr>
              <w:spacing w:after="0"/>
              <w:rPr>
                <w:rFonts w:ascii="Arial" w:hAnsi="Arial" w:cs="Arial"/>
                <w:bCs/>
                <w:sz w:val="20"/>
                <w:szCs w:val="20"/>
              </w:rPr>
            </w:pPr>
            <w:r>
              <w:rPr>
                <w:rFonts w:ascii="Arial" w:hAnsi="Arial" w:cs="Arial"/>
                <w:bCs/>
                <w:sz w:val="20"/>
                <w:szCs w:val="20"/>
              </w:rPr>
              <w:t>Collaborative</w:t>
            </w:r>
          </w:p>
          <w:p>
            <w:pPr>
              <w:pStyle w:val="ListParagraph"/>
              <w:numPr>
                <w:ilvl w:val="0"/>
                <w:numId w:val="2"/>
              </w:numPr>
              <w:spacing w:after="0"/>
              <w:rPr>
                <w:rFonts w:ascii="Arial" w:hAnsi="Arial" w:cs="Arial"/>
                <w:bCs/>
                <w:sz w:val="20"/>
                <w:szCs w:val="20"/>
              </w:rPr>
            </w:pPr>
            <w:r>
              <w:rPr>
                <w:rFonts w:ascii="Arial" w:hAnsi="Arial" w:cs="Arial"/>
                <w:bCs/>
                <w:sz w:val="20"/>
                <w:szCs w:val="20"/>
              </w:rPr>
              <w:t>Together</w:t>
            </w:r>
          </w:p>
        </w:tc>
      </w:tr>
      <w:tr>
        <w:tc>
          <w:tcPr>
            <w:tcW w:w="5243" w:type="dxa"/>
          </w:tcPr>
          <w:p>
            <w:pPr>
              <w:rPr>
                <w:rFonts w:ascii="Arial" w:hAnsi="Arial" w:cs="Arial"/>
                <w:bCs/>
                <w:sz w:val="20"/>
                <w:szCs w:val="20"/>
              </w:rPr>
            </w:pPr>
          </w:p>
        </w:tc>
        <w:tc>
          <w:tcPr>
            <w:tcW w:w="5243" w:type="dxa"/>
          </w:tcPr>
          <w:p>
            <w:pPr>
              <w:rPr>
                <w:rFonts w:ascii="Arial" w:hAnsi="Arial" w:cs="Arial"/>
                <w:bCs/>
                <w:sz w:val="20"/>
                <w:szCs w:val="20"/>
              </w:rPr>
            </w:pPr>
            <w:r>
              <w:rPr>
                <w:rFonts w:ascii="Arial" w:hAnsi="Arial" w:cs="Arial"/>
                <w:bCs/>
                <w:sz w:val="20"/>
                <w:szCs w:val="20"/>
              </w:rPr>
              <w:t>Growth Mindset</w:t>
            </w:r>
          </w:p>
        </w:tc>
        <w:tc>
          <w:tcPr>
            <w:tcW w:w="5244" w:type="dxa"/>
          </w:tcPr>
          <w:p>
            <w:pPr>
              <w:rPr>
                <w:rFonts w:ascii="Arial" w:hAnsi="Arial" w:cs="Arial"/>
                <w:bCs/>
                <w:sz w:val="20"/>
                <w:szCs w:val="20"/>
              </w:rPr>
            </w:pPr>
            <w:r>
              <w:rPr>
                <w:rFonts w:ascii="Arial" w:hAnsi="Arial" w:cs="Arial"/>
                <w:bCs/>
                <w:sz w:val="20"/>
                <w:szCs w:val="20"/>
              </w:rPr>
              <w:t>Activity Passport</w:t>
            </w:r>
          </w:p>
        </w:tc>
      </w:tr>
      <w:tr>
        <w:tc>
          <w:tcPr>
            <w:tcW w:w="5243" w:type="dxa"/>
          </w:tcPr>
          <w:p>
            <w:pPr>
              <w:rPr>
                <w:rFonts w:ascii="Arial" w:hAnsi="Arial" w:cs="Arial"/>
                <w:bCs/>
                <w:sz w:val="20"/>
                <w:szCs w:val="20"/>
              </w:rPr>
            </w:pPr>
          </w:p>
        </w:tc>
        <w:tc>
          <w:tcPr>
            <w:tcW w:w="5243" w:type="dxa"/>
          </w:tcPr>
          <w:p>
            <w:pPr>
              <w:rPr>
                <w:rFonts w:ascii="Arial" w:hAnsi="Arial" w:cs="Arial"/>
                <w:bCs/>
                <w:sz w:val="20"/>
                <w:szCs w:val="20"/>
              </w:rPr>
            </w:pPr>
            <w:r>
              <w:rPr>
                <w:rFonts w:ascii="Arial" w:hAnsi="Arial" w:cs="Arial"/>
                <w:bCs/>
                <w:sz w:val="20"/>
                <w:szCs w:val="20"/>
              </w:rPr>
              <w:t>KAGAN</w:t>
            </w:r>
          </w:p>
        </w:tc>
        <w:tc>
          <w:tcPr>
            <w:tcW w:w="5244" w:type="dxa"/>
          </w:tcPr>
          <w:p>
            <w:pPr>
              <w:rPr>
                <w:rFonts w:ascii="Arial" w:hAnsi="Arial" w:cs="Arial"/>
                <w:bCs/>
                <w:sz w:val="20"/>
                <w:szCs w:val="20"/>
              </w:rPr>
            </w:pPr>
            <w:r>
              <w:rPr>
                <w:rFonts w:ascii="Arial" w:hAnsi="Arial" w:cs="Arial"/>
                <w:bCs/>
                <w:sz w:val="20"/>
                <w:szCs w:val="20"/>
              </w:rPr>
              <w:t>Mental Health and Well-being</w:t>
            </w:r>
          </w:p>
        </w:tc>
      </w:tr>
    </w:tbl>
    <w:p>
      <w:pPr>
        <w:rPr>
          <w:rFonts w:ascii="Arial" w:eastAsia="Calibri" w:hAnsi="Arial" w:cs="Arial"/>
          <w:sz w:val="20"/>
          <w:szCs w:val="20"/>
          <w:lang w:eastAsia="en-GB"/>
        </w:rPr>
      </w:pPr>
    </w:p>
    <w:p>
      <w:pPr>
        <w:rPr>
          <w:rFonts w:ascii="Myriad Pro" w:hAnsi="Myriad Pro"/>
        </w:rPr>
      </w:pPr>
      <w:bookmarkStart w:id="0" w:name="_GoBack"/>
      <w:bookmarkEnd w:id="0"/>
    </w:p>
    <w:sectPr>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513"/>
        <w:tab w:val="clear" w:pos="9026"/>
        <w:tab w:val="left" w:pos="5704"/>
      </w:tabs>
    </w:pPr>
    <w:r>
      <w:rPr>
        <w:noProof/>
        <w:lang w:eastAsia="en-GB"/>
      </w:rPr>
      <w:drawing>
        <wp:anchor distT="0" distB="0" distL="114300" distR="114300" simplePos="0" relativeHeight="251662336" behindDoc="1" locked="0" layoutInCell="1" allowOverlap="1">
          <wp:simplePos x="0" y="0"/>
          <wp:positionH relativeFrom="margin">
            <wp:align>right</wp:align>
          </wp:positionH>
          <wp:positionV relativeFrom="paragraph">
            <wp:posOffset>-102985</wp:posOffset>
          </wp:positionV>
          <wp:extent cx="377825" cy="433070"/>
          <wp:effectExtent l="0" t="0" r="3175" b="5080"/>
          <wp:wrapTight wrapText="bothSides">
            <wp:wrapPolygon edited="0">
              <wp:start x="0" y="0"/>
              <wp:lineTo x="0" y="20903"/>
              <wp:lineTo x="20692" y="20903"/>
              <wp:lineTo x="2069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7825" cy="4330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677274" cy="36576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0468" cy="378286"/>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jc w:val="center"/>
      <w:rPr>
        <w:rFonts w:ascii="Myriad Pro" w:hAnsi="Myriad Pro"/>
        <w:b/>
        <w:u w:val="single"/>
      </w:rPr>
    </w:pPr>
    <w:r>
      <w:rPr>
        <w:rFonts w:ascii="Myriad Pro" w:hAnsi="Myriad Pro"/>
        <w:b/>
        <w:noProof/>
        <w:u w:val="single"/>
        <w:lang w:eastAsia="en-GB"/>
      </w:rPr>
      <w:drawing>
        <wp:anchor distT="0" distB="0" distL="114300" distR="114300" simplePos="0" relativeHeight="251658240" behindDoc="1" locked="0" layoutInCell="1" allowOverlap="1">
          <wp:simplePos x="0" y="0"/>
          <wp:positionH relativeFrom="leftMargin">
            <wp:posOffset>403860</wp:posOffset>
          </wp:positionH>
          <wp:positionV relativeFrom="paragraph">
            <wp:posOffset>-377825</wp:posOffset>
          </wp:positionV>
          <wp:extent cx="701040" cy="848995"/>
          <wp:effectExtent l="0" t="0" r="0" b="0"/>
          <wp:wrapTight wrapText="bothSides">
            <wp:wrapPolygon edited="0">
              <wp:start x="9391" y="969"/>
              <wp:lineTo x="4696" y="4362"/>
              <wp:lineTo x="1761" y="7270"/>
              <wp:lineTo x="1761" y="20356"/>
              <wp:lineTo x="19370" y="20356"/>
              <wp:lineTo x="19370" y="8724"/>
              <wp:lineTo x="12913" y="969"/>
              <wp:lineTo x="9391" y="96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1040" cy="848995"/>
                  </a:xfrm>
                  <a:prstGeom prst="rect">
                    <a:avLst/>
                  </a:prstGeom>
                </pic:spPr>
              </pic:pic>
            </a:graphicData>
          </a:graphic>
          <wp14:sizeRelH relativeFrom="page">
            <wp14:pctWidth>0</wp14:pctWidth>
          </wp14:sizeRelH>
          <wp14:sizeRelV relativeFrom="page">
            <wp14:pctHeight>0</wp14:pctHeight>
          </wp14:sizeRelV>
        </wp:anchor>
      </w:drawing>
    </w:r>
    <w:r>
      <w:rPr>
        <w:rFonts w:ascii="Myriad Pro" w:hAnsi="Myriad Pro"/>
        <w:b/>
        <w:noProof/>
        <w:u w:val="single"/>
        <w:lang w:eastAsia="en-GB"/>
      </w:rPr>
      <w:drawing>
        <wp:anchor distT="0" distB="0" distL="114300" distR="114300" simplePos="0" relativeHeight="251663360" behindDoc="1" locked="0" layoutInCell="1" allowOverlap="1">
          <wp:simplePos x="0" y="0"/>
          <wp:positionH relativeFrom="rightMargin">
            <wp:align>left</wp:align>
          </wp:positionH>
          <wp:positionV relativeFrom="paragraph">
            <wp:posOffset>-37465</wp:posOffset>
          </wp:positionV>
          <wp:extent cx="464154" cy="313533"/>
          <wp:effectExtent l="0" t="0" r="0" b="0"/>
          <wp:wrapTight wrapText="bothSides">
            <wp:wrapPolygon edited="0">
              <wp:start x="0" y="0"/>
              <wp:lineTo x="0" y="19716"/>
              <wp:lineTo x="20416" y="19716"/>
              <wp:lineTo x="204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4154" cy="3135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356C2"/>
    <w:multiLevelType w:val="hybridMultilevel"/>
    <w:tmpl w:val="0B200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46933"/>
    <w:multiLevelType w:val="hybridMultilevel"/>
    <w:tmpl w:val="0B7E3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777166"/>
    <w:multiLevelType w:val="hybridMultilevel"/>
    <w:tmpl w:val="526C7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50D099B-D126-4DDD-B521-CC1C3ACCE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3162e-f5f3-47b6-9b07-3ff31bc266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8" ma:contentTypeDescription="Create a new document." ma:contentTypeScope="" ma:versionID="42c97971d322d4f5ce1cffc1cc3958ec">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39d3bf2f103bc52066558422e9199f45"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526B9A-749A-4938-AA6C-678653ADC6A0}">
  <ds:schemaRefs>
    <ds:schemaRef ds:uri="http://schemas.microsoft.com/sharepoint/v3/contenttype/forms"/>
  </ds:schemaRefs>
</ds:datastoreItem>
</file>

<file path=customXml/itemProps2.xml><?xml version="1.0" encoding="utf-8"?>
<ds:datastoreItem xmlns:ds="http://schemas.openxmlformats.org/officeDocument/2006/customXml" ds:itemID="{3A62F38F-5D28-4B3B-82B8-D55DF7074A47}">
  <ds:schemaRefs>
    <ds:schemaRef ds:uri="http://purl.org/dc/terms/"/>
    <ds:schemaRef ds:uri="http://purl.org/dc/dcmitype/"/>
    <ds:schemaRef ds:uri="http://purl.org/dc/elements/1.1/"/>
    <ds:schemaRef ds:uri="http://schemas.microsoft.com/office/2006/metadata/properties"/>
    <ds:schemaRef ds:uri="http://schemas.microsoft.com/office/2006/documentManagement/types"/>
    <ds:schemaRef ds:uri="92b0dab0-21f0-47d1-a540-abbb716456c5"/>
    <ds:schemaRef ds:uri="http://www.w3.org/XML/1998/namespace"/>
    <ds:schemaRef ds:uri="http://schemas.microsoft.com/office/infopath/2007/PartnerControls"/>
    <ds:schemaRef ds:uri="http://schemas.openxmlformats.org/package/2006/metadata/core-properties"/>
    <ds:schemaRef ds:uri="79e3162e-f5f3-47b6-9b07-3ff31bc2668d"/>
  </ds:schemaRefs>
</ds:datastoreItem>
</file>

<file path=customXml/itemProps3.xml><?xml version="1.0" encoding="utf-8"?>
<ds:datastoreItem xmlns:ds="http://schemas.openxmlformats.org/officeDocument/2006/customXml" ds:itemID="{B29252A3-0168-48D5-892A-E22D2A22C8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0dab0-21f0-47d1-a540-abbb716456c5"/>
    <ds:schemaRef ds:uri="79e3162e-f5f3-47b6-9b07-3ff31bc26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590</Words>
  <Characters>3368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Keresley Grange Academy</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Astley (KG)</dc:creator>
  <cp:keywords/>
  <dc:description/>
  <cp:lastModifiedBy>J. Astley (KG)</cp:lastModifiedBy>
  <cp:revision>2</cp:revision>
  <dcterms:created xsi:type="dcterms:W3CDTF">2024-05-23T21:09:00Z</dcterms:created>
  <dcterms:modified xsi:type="dcterms:W3CDTF">2024-05-23T21:09:00Z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