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rPr>
          <w:rFonts w:ascii="Myriad Pro" w:hAnsi="Myriad Pro"/>
        </w:rPr>
      </w:pPr>
    </w:p>
    <w:p>
      <w:pPr>
        <w:rPr>
          <w:rFonts w:ascii="Myriad Pro" w:hAnsi="Myriad Pro" w:cs="Arial"/>
          <w:sz w:val="28"/>
        </w:rPr>
      </w:pPr>
      <w:r>
        <w:rPr>
          <w:rFonts w:ascii="Myriad Pro" w:hAnsi="Myriad Pro" w:cs="Arial"/>
          <w:sz w:val="28"/>
        </w:rPr>
        <w:t xml:space="preserve"> </w:t>
      </w:r>
    </w:p>
    <w:p>
      <w:pPr>
        <w:jc w:val="center"/>
        <w:rPr>
          <w:rFonts w:ascii="Myriad Pro" w:hAnsi="Myriad Pro" w:cs="Arial"/>
          <w:b/>
          <w:sz w:val="28"/>
        </w:rPr>
      </w:pPr>
      <w:r>
        <w:rPr>
          <w:rFonts w:ascii="Myriad Pro" w:hAnsi="Myriad Pro" w:cs="Arial"/>
          <w:b/>
          <w:sz w:val="28"/>
        </w:rPr>
        <w:t>KERESLEY GRANGE PRIMARY SCHOOL</w:t>
      </w:r>
    </w:p>
    <w:p>
      <w:pPr>
        <w:jc w:val="center"/>
        <w:rPr>
          <w:rFonts w:ascii="Myriad Pro" w:hAnsi="Myriad Pro" w:cs="Arial"/>
          <w:b/>
          <w:sz w:val="28"/>
        </w:rPr>
      </w:pPr>
    </w:p>
    <w:p>
      <w:pPr>
        <w:jc w:val="center"/>
        <w:rPr>
          <w:rFonts w:ascii="Myriad Pro" w:hAnsi="Myriad Pro" w:cs="Arial"/>
          <w:b/>
          <w:sz w:val="28"/>
          <w:u w:val="single"/>
        </w:rPr>
      </w:pPr>
      <w:r>
        <w:rPr>
          <w:rFonts w:ascii="Myriad Pro" w:hAnsi="Myriad Pro" w:cs="Arial"/>
          <w:b/>
          <w:sz w:val="28"/>
          <w:u w:val="single"/>
        </w:rPr>
        <w:t>ADMISSIONS POLICY</w:t>
      </w:r>
    </w:p>
    <w:p>
      <w:pPr>
        <w:jc w:val="center"/>
        <w:rPr>
          <w:rFonts w:ascii="Myriad Pro" w:hAnsi="Myriad Pro" w:cs="Arial"/>
          <w:b/>
        </w:rPr>
      </w:pPr>
    </w:p>
    <w:p>
      <w:pPr>
        <w:jc w:val="center"/>
        <w:rPr>
          <w:rFonts w:ascii="Myriad Pro" w:hAnsi="Myriad Pro" w:cs="Arial"/>
          <w:b/>
        </w:rPr>
      </w:pPr>
      <w:r>
        <w:rPr>
          <w:rFonts w:ascii="Myriad Pro" w:hAnsi="Myriad Pro" w:cs="Arial"/>
          <w:b/>
        </w:rPr>
        <w:t>SEPTEMBER 2026</w:t>
      </w:r>
    </w:p>
    <w:p>
      <w:pPr>
        <w:jc w:val="center"/>
        <w:rPr>
          <w:rFonts w:ascii="Myriad Pro" w:hAnsi="Myriad Pro" w:cs="Arial"/>
        </w:rPr>
      </w:pPr>
    </w:p>
    <w:p>
      <w:pPr>
        <w:rPr>
          <w:rFonts w:ascii="Myriad Pro" w:hAnsi="Myriad Pro" w:cs="Arial"/>
          <w:sz w:val="24"/>
          <w:szCs w:val="24"/>
        </w:rPr>
      </w:pPr>
      <w:proofErr w:type="spellStart"/>
      <w:r>
        <w:rPr>
          <w:rFonts w:ascii="Myriad Pro" w:hAnsi="Myriad Pro" w:cs="Arial"/>
          <w:sz w:val="24"/>
          <w:szCs w:val="24"/>
        </w:rPr>
        <w:t>Keresley</w:t>
      </w:r>
      <w:proofErr w:type="spellEnd"/>
      <w:r>
        <w:rPr>
          <w:rFonts w:ascii="Myriad Pro" w:hAnsi="Myriad Pro" w:cs="Arial"/>
          <w:sz w:val="24"/>
          <w:szCs w:val="24"/>
        </w:rPr>
        <w:t xml:space="preserve"> Grange Primary is an academy within The Futures Trust, a Multi Academy Trust (the Academy Trust). The Academy Trust is the admission authority.  The school participates in the local authority coordinated scheme for Reception admissions intake. All applicants should adhere to the deadlines within the scheme. </w:t>
      </w:r>
    </w:p>
    <w:p>
      <w:pPr>
        <w:rPr>
          <w:rFonts w:ascii="Myriad Pro" w:hAnsi="Myriad Pro" w:cs="Arial"/>
          <w:sz w:val="24"/>
          <w:szCs w:val="24"/>
        </w:rPr>
      </w:pPr>
      <w:r>
        <w:rPr>
          <w:rFonts w:ascii="Myriad Pro" w:hAnsi="Myriad Pro" w:cs="Arial"/>
          <w:sz w:val="24"/>
          <w:szCs w:val="24"/>
        </w:rPr>
        <w:t>Please refer to:</w:t>
      </w:r>
    </w:p>
    <w:p>
      <w:pPr>
        <w:rPr>
          <w:rFonts w:ascii="Myriad Pro" w:hAnsi="Myriad Pro" w:cs="Arial"/>
          <w:color w:val="0563C1" w:themeColor="hyperlink"/>
          <w:sz w:val="24"/>
          <w:szCs w:val="24"/>
          <w:u w:val="single"/>
        </w:rPr>
      </w:pPr>
      <w:hyperlink r:id="rId10" w:history="1">
        <w:r>
          <w:rPr>
            <w:rStyle w:val="Hyperlink"/>
            <w:rFonts w:ascii="Myriad Pro" w:hAnsi="Myriad Pro" w:cs="Arial"/>
            <w:sz w:val="24"/>
            <w:szCs w:val="24"/>
          </w:rPr>
          <w:t>Coventry Primary School Admissions</w:t>
        </w:r>
      </w:hyperlink>
    </w:p>
    <w:p>
      <w:pPr>
        <w:rPr>
          <w:rFonts w:ascii="Myriad Pro" w:hAnsi="Myriad Pro" w:cs="Arial"/>
          <w:sz w:val="24"/>
          <w:szCs w:val="24"/>
        </w:rPr>
      </w:pPr>
      <w:r>
        <w:rPr>
          <w:rFonts w:ascii="Myriad Pro" w:hAnsi="Myriad Pro" w:cs="Arial"/>
          <w:sz w:val="24"/>
          <w:szCs w:val="24"/>
        </w:rPr>
        <w:t>The admission arrangements comply with the Fair Access Protocol as detailed in the Admissions Code.</w:t>
      </w:r>
    </w:p>
    <w:p>
      <w:pPr>
        <w:rPr>
          <w:rFonts w:ascii="Myriad Pro" w:hAnsi="Myriad Pro" w:cs="Arial"/>
          <w:b/>
          <w:sz w:val="24"/>
          <w:szCs w:val="24"/>
          <w:u w:val="single"/>
        </w:rPr>
      </w:pPr>
      <w:bookmarkStart w:id="0" w:name="_GoBack"/>
      <w:bookmarkEnd w:id="0"/>
      <w:r>
        <w:rPr>
          <w:rFonts w:ascii="Myriad Pro" w:hAnsi="Myriad Pro" w:cs="Arial"/>
          <w:b/>
          <w:sz w:val="24"/>
          <w:szCs w:val="24"/>
          <w:u w:val="single"/>
        </w:rPr>
        <w:t xml:space="preserve">Aims </w:t>
      </w:r>
    </w:p>
    <w:p>
      <w:pPr>
        <w:rPr>
          <w:rFonts w:ascii="Myriad Pro" w:hAnsi="Myriad Pro" w:cs="Arial"/>
          <w:sz w:val="24"/>
          <w:szCs w:val="24"/>
        </w:rPr>
      </w:pPr>
      <w:r>
        <w:rPr>
          <w:rFonts w:ascii="Myriad Pro" w:hAnsi="Myriad Pro" w:cs="Arial"/>
          <w:sz w:val="24"/>
          <w:szCs w:val="24"/>
        </w:rPr>
        <w:t>This policy aims to:</w:t>
      </w:r>
    </w:p>
    <w:p>
      <w:pPr>
        <w:rPr>
          <w:rFonts w:ascii="Myriad Pro" w:hAnsi="Myriad Pro" w:cs="Arial"/>
          <w:sz w:val="24"/>
          <w:szCs w:val="24"/>
        </w:rPr>
      </w:pPr>
      <w:r>
        <w:rPr>
          <w:rFonts w:ascii="Myriad Pro" w:hAnsi="Myriad Pro" w:cs="Arial"/>
          <w:sz w:val="24"/>
          <w:szCs w:val="24"/>
        </w:rPr>
        <w:t xml:space="preserve">Explain how to apply for a place at the school </w:t>
      </w:r>
    </w:p>
    <w:p>
      <w:pPr>
        <w:rPr>
          <w:rFonts w:ascii="Myriad Pro" w:hAnsi="Myriad Pro" w:cs="Arial"/>
          <w:sz w:val="24"/>
          <w:szCs w:val="24"/>
        </w:rPr>
      </w:pPr>
      <w:r>
        <w:rPr>
          <w:rFonts w:ascii="Myriad Pro" w:hAnsi="Myriad Pro" w:cs="Arial"/>
          <w:sz w:val="24"/>
          <w:szCs w:val="24"/>
        </w:rPr>
        <w:t xml:space="preserve">Set out the school’s arrangements for allocating places to the pupils who apply </w:t>
      </w:r>
    </w:p>
    <w:p>
      <w:pPr>
        <w:rPr>
          <w:rFonts w:ascii="Myriad Pro" w:hAnsi="Myriad Pro" w:cs="Arial"/>
          <w:sz w:val="24"/>
          <w:szCs w:val="24"/>
        </w:rPr>
      </w:pPr>
      <w:r>
        <w:rPr>
          <w:rFonts w:ascii="Myriad Pro" w:hAnsi="Myriad Pro" w:cs="Arial"/>
          <w:sz w:val="24"/>
          <w:szCs w:val="24"/>
        </w:rPr>
        <w:t xml:space="preserve">Explain how to appeal against a decision not to offer your child a place </w:t>
      </w:r>
    </w:p>
    <w:p>
      <w:pPr>
        <w:ind w:left="360"/>
        <w:rPr>
          <w:rFonts w:ascii="Myriad Pro" w:hAnsi="Myriad Pro" w:cs="Arial"/>
          <w:sz w:val="24"/>
          <w:szCs w:val="24"/>
        </w:rPr>
      </w:pPr>
    </w:p>
    <w:p>
      <w:pPr>
        <w:rPr>
          <w:rFonts w:ascii="Myriad Pro" w:hAnsi="Myriad Pro" w:cs="Arial"/>
          <w:b/>
          <w:sz w:val="24"/>
          <w:szCs w:val="24"/>
          <w:u w:val="single"/>
        </w:rPr>
      </w:pPr>
      <w:r>
        <w:rPr>
          <w:rFonts w:ascii="Myriad Pro" w:hAnsi="Myriad Pro" w:cs="Arial"/>
          <w:b/>
          <w:sz w:val="24"/>
          <w:szCs w:val="24"/>
          <w:u w:val="single"/>
        </w:rPr>
        <w:t xml:space="preserve">Legislation and statutory requirements </w:t>
      </w:r>
    </w:p>
    <w:p>
      <w:pPr>
        <w:rPr>
          <w:rFonts w:ascii="Myriad Pro" w:hAnsi="Myriad Pro" w:cs="Arial"/>
          <w:sz w:val="24"/>
          <w:szCs w:val="24"/>
        </w:rPr>
      </w:pPr>
      <w:r>
        <w:rPr>
          <w:rFonts w:ascii="Myriad Pro" w:hAnsi="Myriad Pro" w:cs="Arial"/>
          <w:sz w:val="24"/>
          <w:szCs w:val="24"/>
        </w:rPr>
        <w:t>This policy is based on the following advice from the Department for Education (DfE):</w:t>
      </w:r>
    </w:p>
    <w:p>
      <w:pPr>
        <w:ind w:left="567"/>
        <w:rPr>
          <w:rFonts w:ascii="Myriad Pro" w:hAnsi="Myriad Pro" w:cs="Arial"/>
          <w:sz w:val="24"/>
          <w:szCs w:val="24"/>
        </w:rPr>
      </w:pPr>
      <w:r>
        <w:rPr>
          <w:rFonts w:ascii="Myriad Pro" w:hAnsi="Myriad Pro" w:cs="Arial"/>
          <w:sz w:val="24"/>
          <w:szCs w:val="24"/>
        </w:rPr>
        <w:t xml:space="preserve">• </w:t>
      </w:r>
      <w:hyperlink r:id="rId11" w:history="1">
        <w:r>
          <w:rPr>
            <w:rStyle w:val="Hyperlink"/>
            <w:rFonts w:ascii="Myriad Pro" w:hAnsi="Myriad Pro" w:cs="Arial"/>
            <w:sz w:val="24"/>
            <w:szCs w:val="24"/>
          </w:rPr>
          <w:t>https://www.gov.uk/government/publications/school-admissions-code--2</w:t>
        </w:r>
      </w:hyperlink>
    </w:p>
    <w:p>
      <w:pPr>
        <w:ind w:left="567"/>
        <w:rPr>
          <w:rFonts w:ascii="Myriad Pro" w:hAnsi="Myriad Pro" w:cs="Arial"/>
          <w:sz w:val="24"/>
          <w:szCs w:val="24"/>
        </w:rPr>
      </w:pPr>
      <w:r>
        <w:rPr>
          <w:rFonts w:ascii="Myriad Pro" w:hAnsi="Myriad Pro" w:cs="Arial"/>
          <w:sz w:val="24"/>
          <w:szCs w:val="24"/>
        </w:rPr>
        <w:t xml:space="preserve">• </w:t>
      </w:r>
      <w:hyperlink r:id="rId12" w:history="1">
        <w:r>
          <w:rPr>
            <w:rStyle w:val="Hyperlink"/>
            <w:rFonts w:ascii="Myriad Pro" w:hAnsi="Myriad Pro" w:cs="Arial"/>
            <w:sz w:val="24"/>
            <w:szCs w:val="24"/>
          </w:rPr>
          <w:t>https://www.gov.uk/government/publications/school-admissions-appeals-code</w:t>
        </w:r>
      </w:hyperlink>
    </w:p>
    <w:p>
      <w:pPr>
        <w:rPr>
          <w:rFonts w:ascii="Myriad Pro" w:hAnsi="Myriad Pro" w:cs="Arial"/>
          <w:sz w:val="24"/>
          <w:szCs w:val="24"/>
        </w:rPr>
      </w:pPr>
      <w:r>
        <w:rPr>
          <w:rFonts w:ascii="Myriad Pro" w:hAnsi="Myriad Pro" w:cs="Arial"/>
          <w:sz w:val="24"/>
          <w:szCs w:val="24"/>
        </w:rPr>
        <w:t xml:space="preserve">As an academy, the school is required by its funding agreement to comply with these codes, and with the law relating to admissions as set out in the </w:t>
      </w:r>
      <w:hyperlink r:id="rId13" w:history="1">
        <w:r>
          <w:rPr>
            <w:rStyle w:val="Hyperlink"/>
            <w:rFonts w:ascii="Myriad Pro" w:hAnsi="Myriad Pro" w:cs="Arial"/>
            <w:sz w:val="24"/>
            <w:szCs w:val="24"/>
          </w:rPr>
          <w:t>http://www.legislation.gov.uk/ukpga/1998/31/contents</w:t>
        </w:r>
      </w:hyperlink>
    </w:p>
    <w:p>
      <w:pPr>
        <w:rPr>
          <w:rFonts w:ascii="Myriad Pro" w:hAnsi="Myriad Pro" w:cs="Arial"/>
          <w:sz w:val="24"/>
          <w:szCs w:val="24"/>
        </w:rPr>
      </w:pPr>
      <w:r>
        <w:rPr>
          <w:rFonts w:ascii="Myriad Pro" w:hAnsi="Myriad Pro" w:cs="Arial"/>
          <w:sz w:val="24"/>
          <w:szCs w:val="24"/>
        </w:rPr>
        <w:t>This policy complies with our funding agreement and articles of association.</w:t>
      </w:r>
    </w:p>
    <w:p>
      <w:pPr>
        <w:rPr>
          <w:rFonts w:ascii="Myriad Pro" w:hAnsi="Myriad Pro" w:cs="Arial"/>
          <w:sz w:val="24"/>
          <w:szCs w:val="24"/>
          <w:highlight w:val="green"/>
        </w:rPr>
      </w:pPr>
      <w:r>
        <w:rPr>
          <w:rFonts w:ascii="Myriad Pro" w:hAnsi="Myriad Pro" w:cs="Arial"/>
          <w:sz w:val="24"/>
          <w:szCs w:val="24"/>
          <w:highlight w:val="green"/>
        </w:rPr>
        <w:t xml:space="preserve"> </w:t>
      </w:r>
    </w:p>
    <w:p>
      <w:pPr>
        <w:rPr>
          <w:rFonts w:ascii="Myriad Pro" w:hAnsi="Myriad Pro" w:cs="Arial"/>
          <w:b/>
          <w:sz w:val="24"/>
          <w:szCs w:val="24"/>
          <w:u w:val="single"/>
        </w:rPr>
      </w:pPr>
      <w:r>
        <w:rPr>
          <w:rFonts w:ascii="Myriad Pro" w:hAnsi="Myriad Pro" w:cs="Arial"/>
          <w:b/>
          <w:sz w:val="24"/>
          <w:szCs w:val="24"/>
          <w:u w:val="single"/>
        </w:rPr>
        <w:lastRenderedPageBreak/>
        <w:t xml:space="preserve">Definitions </w:t>
      </w:r>
    </w:p>
    <w:p>
      <w:pPr>
        <w:rPr>
          <w:rFonts w:ascii="Myriad Pro" w:hAnsi="Myriad Pro" w:cs="Arial"/>
          <w:sz w:val="24"/>
          <w:szCs w:val="24"/>
        </w:rPr>
      </w:pPr>
      <w:r>
        <w:rPr>
          <w:rFonts w:ascii="Myriad Pro" w:hAnsi="Myriad Pro" w:cs="Arial"/>
          <w:sz w:val="24"/>
          <w:szCs w:val="24"/>
        </w:rPr>
        <w:t xml:space="preserve">The normal admissions round is the period during which parents can apply for state-funded school places at the school’s normal point of entry, using the common application form provided by their home local authority. </w:t>
      </w:r>
    </w:p>
    <w:p>
      <w:pPr>
        <w:rPr>
          <w:rFonts w:ascii="Myriad Pro" w:hAnsi="Myriad Pro" w:cs="Arial"/>
          <w:sz w:val="24"/>
          <w:szCs w:val="24"/>
        </w:rPr>
      </w:pPr>
      <w:r>
        <w:rPr>
          <w:rFonts w:ascii="Myriad Pro" w:hAnsi="Myriad Pro" w:cs="Arial"/>
          <w:sz w:val="24"/>
          <w:szCs w:val="24"/>
        </w:rPr>
        <w:t xml:space="preserve">A child reaches </w:t>
      </w:r>
      <w:r>
        <w:rPr>
          <w:rFonts w:ascii="Myriad Pro" w:hAnsi="Myriad Pro" w:cs="Arial"/>
          <w:b/>
          <w:sz w:val="24"/>
          <w:szCs w:val="24"/>
        </w:rPr>
        <w:t>compulsory school age</w:t>
      </w:r>
      <w:r>
        <w:rPr>
          <w:rFonts w:ascii="Myriad Pro" w:hAnsi="Myriad Pro" w:cs="Arial"/>
          <w:sz w:val="24"/>
          <w:szCs w:val="24"/>
        </w:rPr>
        <w:t xml:space="preserve"> on the prescribed day following his or her fifth birthday (or on his or her fifth birthday if it falls on a prescribed day). The prescribed days are 31 December, 31 March and 31 August. </w:t>
      </w:r>
    </w:p>
    <w:p>
      <w:pPr>
        <w:rPr>
          <w:rFonts w:ascii="Myriad Pro" w:hAnsi="Myriad Pro" w:cs="Arial"/>
          <w:sz w:val="24"/>
          <w:szCs w:val="24"/>
        </w:rPr>
      </w:pPr>
    </w:p>
    <w:p>
      <w:pPr>
        <w:rPr>
          <w:rFonts w:ascii="Myriad Pro" w:hAnsi="Myriad Pro" w:cs="Arial"/>
          <w:b/>
          <w:iCs/>
          <w:sz w:val="24"/>
          <w:szCs w:val="24"/>
          <w:u w:val="single"/>
        </w:rPr>
      </w:pPr>
      <w:r>
        <w:rPr>
          <w:rFonts w:ascii="Myriad Pro" w:hAnsi="Myriad Pro" w:cs="Arial"/>
          <w:b/>
          <w:iCs/>
          <w:sz w:val="24"/>
          <w:szCs w:val="24"/>
          <w:u w:val="single"/>
        </w:rPr>
        <w:t xml:space="preserve">Oversubscription criteria: </w:t>
      </w:r>
    </w:p>
    <w:p>
      <w:pPr>
        <w:rPr>
          <w:rFonts w:ascii="Myriad Pro" w:hAnsi="Myriad Pro" w:cs="Arial"/>
          <w:sz w:val="24"/>
          <w:szCs w:val="24"/>
        </w:rPr>
      </w:pPr>
      <w:proofErr w:type="spellStart"/>
      <w:r>
        <w:rPr>
          <w:rFonts w:ascii="Myriad Pro" w:hAnsi="Myriad Pro" w:cs="Arial"/>
          <w:sz w:val="24"/>
          <w:szCs w:val="24"/>
        </w:rPr>
        <w:t>Keresley</w:t>
      </w:r>
      <w:proofErr w:type="spellEnd"/>
      <w:r>
        <w:rPr>
          <w:rFonts w:ascii="Myriad Pro" w:hAnsi="Myriad Pro" w:cs="Arial"/>
          <w:sz w:val="24"/>
          <w:szCs w:val="24"/>
        </w:rPr>
        <w:t xml:space="preserve"> Grange has an admission number of 45 children per year group.</w:t>
      </w:r>
    </w:p>
    <w:p>
      <w:pPr>
        <w:rPr>
          <w:rFonts w:ascii="Myriad Pro" w:hAnsi="Myriad Pro" w:cs="Arial"/>
          <w:sz w:val="24"/>
          <w:szCs w:val="24"/>
        </w:rPr>
      </w:pPr>
      <w:r>
        <w:rPr>
          <w:rFonts w:ascii="Myriad Pro" w:hAnsi="Myriad Pro" w:cs="Arial"/>
          <w:sz w:val="24"/>
          <w:szCs w:val="24"/>
        </w:rPr>
        <w:t xml:space="preserve">If the number of applications is less than the published admission number then all applicants will be offered a place. </w:t>
      </w:r>
    </w:p>
    <w:p>
      <w:pPr>
        <w:rPr>
          <w:rFonts w:ascii="Myriad Pro" w:hAnsi="Myriad Pro" w:cs="Arial"/>
          <w:sz w:val="24"/>
          <w:szCs w:val="24"/>
        </w:rPr>
      </w:pPr>
      <w:r>
        <w:rPr>
          <w:rFonts w:ascii="Myriad Pro" w:hAnsi="Myriad Pro" w:cs="Arial"/>
          <w:sz w:val="24"/>
          <w:szCs w:val="24"/>
        </w:rPr>
        <w:t>All applicants with an Education, Health and Care Plan which names the school must be admitted before places are allocated using the oversubscription criteria.</w:t>
      </w:r>
    </w:p>
    <w:p>
      <w:pPr>
        <w:rPr>
          <w:rFonts w:ascii="Myriad Pro" w:hAnsi="Myriad Pro" w:cs="Arial"/>
          <w:sz w:val="24"/>
          <w:szCs w:val="24"/>
        </w:rPr>
      </w:pPr>
      <w:r>
        <w:rPr>
          <w:rFonts w:ascii="Myriad Pro" w:hAnsi="Myriad Pro" w:cs="Arial"/>
          <w:sz w:val="24"/>
          <w:szCs w:val="24"/>
        </w:rPr>
        <w:t xml:space="preserve">If there are more requests for a school than there are places available within the school’s admission number, places will be allocated in accordance with the following criteria and in the order shown below. </w:t>
      </w:r>
    </w:p>
    <w:p>
      <w:pPr>
        <w:pStyle w:val="ListParagraph"/>
        <w:ind w:left="567"/>
        <w:rPr>
          <w:rFonts w:ascii="Myriad Pro" w:hAnsi="Myriad Pro" w:cs="Arial"/>
          <w:sz w:val="24"/>
          <w:szCs w:val="24"/>
        </w:rPr>
      </w:pPr>
    </w:p>
    <w:p>
      <w:pPr>
        <w:pStyle w:val="ListParagraph"/>
        <w:numPr>
          <w:ilvl w:val="0"/>
          <w:numId w:val="7"/>
        </w:numPr>
        <w:rPr>
          <w:rFonts w:ascii="Myriad Pro" w:hAnsi="Myriad Pro" w:cs="Arial"/>
          <w:sz w:val="24"/>
          <w:szCs w:val="24"/>
        </w:rPr>
      </w:pPr>
      <w:r>
        <w:rPr>
          <w:rFonts w:ascii="Myriad Pro" w:hAnsi="Myriad Pro" w:cs="Arial"/>
          <w:sz w:val="24"/>
          <w:szCs w:val="24"/>
        </w:rPr>
        <w:t>Children who, at the time of admission, are in the care of a local authority or are</w:t>
      </w:r>
      <w:r>
        <w:rPr>
          <w:rFonts w:ascii="Myriad Pro" w:hAnsi="Myriad Pro" w:cs="Arial"/>
          <w:sz w:val="24"/>
          <w:szCs w:val="24"/>
        </w:rPr>
        <w:t xml:space="preserve"> </w:t>
      </w:r>
      <w:r>
        <w:rPr>
          <w:rFonts w:ascii="Myriad Pro" w:hAnsi="Myriad Pro" w:cs="Arial"/>
          <w:sz w:val="24"/>
          <w:szCs w:val="24"/>
        </w:rPr>
        <w:t>provided with accommodation by the authority (looked after children). Also children</w:t>
      </w:r>
      <w:r>
        <w:rPr>
          <w:rFonts w:ascii="Myriad Pro" w:hAnsi="Myriad Pro" w:cs="Arial"/>
          <w:sz w:val="24"/>
          <w:szCs w:val="24"/>
        </w:rPr>
        <w:t xml:space="preserve"> </w:t>
      </w:r>
      <w:r>
        <w:rPr>
          <w:rFonts w:ascii="Myriad Pro" w:hAnsi="Myriad Pro" w:cs="Arial"/>
          <w:sz w:val="24"/>
          <w:szCs w:val="24"/>
        </w:rPr>
        <w:t>who were previously looked after but ceased to be so because they were adopted, or</w:t>
      </w:r>
      <w:r>
        <w:rPr>
          <w:rFonts w:ascii="Myriad Pro" w:hAnsi="Myriad Pro" w:cs="Arial"/>
          <w:sz w:val="24"/>
          <w:szCs w:val="24"/>
        </w:rPr>
        <w:t xml:space="preserve"> </w:t>
      </w:r>
      <w:r>
        <w:rPr>
          <w:rFonts w:ascii="Myriad Pro" w:hAnsi="Myriad Pro" w:cs="Arial"/>
          <w:sz w:val="24"/>
          <w:szCs w:val="24"/>
        </w:rPr>
        <w:t xml:space="preserve">became subject to a </w:t>
      </w:r>
      <w:proofErr w:type="gramStart"/>
      <w:r>
        <w:rPr>
          <w:rFonts w:ascii="Myriad Pro" w:hAnsi="Myriad Pro" w:cs="Arial"/>
          <w:sz w:val="24"/>
          <w:szCs w:val="24"/>
        </w:rPr>
        <w:t>child arrangements</w:t>
      </w:r>
      <w:proofErr w:type="gramEnd"/>
      <w:r>
        <w:rPr>
          <w:rFonts w:ascii="Myriad Pro" w:hAnsi="Myriad Pro" w:cs="Arial"/>
          <w:sz w:val="24"/>
          <w:szCs w:val="24"/>
        </w:rPr>
        <w:t xml:space="preserve"> order or a special guardianship order; and all</w:t>
      </w:r>
      <w:r>
        <w:rPr>
          <w:rFonts w:ascii="Myriad Pro" w:hAnsi="Myriad Pro" w:cs="Arial"/>
          <w:sz w:val="24"/>
          <w:szCs w:val="24"/>
        </w:rPr>
        <w:t xml:space="preserve"> </w:t>
      </w:r>
      <w:r>
        <w:rPr>
          <w:rFonts w:ascii="Myriad Pro" w:hAnsi="Myriad Pro" w:cs="Arial"/>
          <w:sz w:val="24"/>
          <w:szCs w:val="24"/>
        </w:rPr>
        <w:t>previously looked after children, including those children who appear (to the</w:t>
      </w:r>
      <w:r>
        <w:rPr>
          <w:rFonts w:ascii="Myriad Pro" w:hAnsi="Myriad Pro" w:cs="Arial"/>
          <w:sz w:val="24"/>
          <w:szCs w:val="24"/>
        </w:rPr>
        <w:t xml:space="preserve"> </w:t>
      </w:r>
      <w:r>
        <w:rPr>
          <w:rFonts w:ascii="Myriad Pro" w:hAnsi="Myriad Pro" w:cs="Arial"/>
          <w:sz w:val="24"/>
          <w:szCs w:val="24"/>
        </w:rPr>
        <w:t>admission authority) to have been in state care outside of England and ceased to be in</w:t>
      </w:r>
      <w:r>
        <w:rPr>
          <w:rFonts w:ascii="Myriad Pro" w:hAnsi="Myriad Pro" w:cs="Arial"/>
          <w:sz w:val="24"/>
          <w:szCs w:val="24"/>
        </w:rPr>
        <w:t xml:space="preserve"> </w:t>
      </w:r>
      <w:r>
        <w:rPr>
          <w:rFonts w:ascii="Myriad Pro" w:hAnsi="Myriad Pro" w:cs="Arial"/>
          <w:sz w:val="24"/>
          <w:szCs w:val="24"/>
        </w:rPr>
        <w:t>state care as a result of being adopted.</w:t>
      </w:r>
    </w:p>
    <w:p>
      <w:pPr>
        <w:pStyle w:val="ListParagraph"/>
        <w:ind w:left="1571"/>
        <w:rPr>
          <w:rFonts w:ascii="Myriad Pro" w:hAnsi="Myriad Pro" w:cs="Arial"/>
          <w:sz w:val="24"/>
          <w:szCs w:val="24"/>
          <w:highlight w:val="green"/>
        </w:rPr>
      </w:pPr>
      <w:r>
        <w:rPr>
          <w:rFonts w:ascii="Myriad Pro" w:hAnsi="Myriad Pro" w:cs="Arial"/>
          <w:sz w:val="24"/>
          <w:szCs w:val="24"/>
        </w:rPr>
        <w:t>(</w:t>
      </w:r>
      <w:r>
        <w:rPr>
          <w:rFonts w:ascii="Myriad Pro" w:hAnsi="Myriad Pro" w:cs="Arial"/>
          <w:sz w:val="24"/>
          <w:szCs w:val="24"/>
        </w:rPr>
        <w:t>A looked-after child is defined in Section 22 of the Children Act 1989.</w:t>
      </w:r>
      <w:r>
        <w:rPr>
          <w:rFonts w:ascii="Myriad Pro" w:hAnsi="Myriad Pro" w:cs="Arial"/>
          <w:sz w:val="24"/>
          <w:szCs w:val="24"/>
        </w:rPr>
        <w:t>)</w:t>
      </w:r>
    </w:p>
    <w:p>
      <w:pPr>
        <w:pStyle w:val="ListParagraph"/>
        <w:numPr>
          <w:ilvl w:val="0"/>
          <w:numId w:val="7"/>
        </w:numPr>
        <w:rPr>
          <w:rFonts w:ascii="Myriad Pro" w:hAnsi="Myriad Pro" w:cs="Arial"/>
          <w:sz w:val="24"/>
          <w:szCs w:val="24"/>
        </w:rPr>
      </w:pPr>
      <w:r>
        <w:rPr>
          <w:rFonts w:ascii="Myriad Pro" w:hAnsi="Myriad Pro" w:cs="Arial"/>
          <w:sz w:val="24"/>
          <w:szCs w:val="24"/>
        </w:rPr>
        <w:t xml:space="preserve">Children who live in the catchment area served by the School, who have a brother or sister attending the School provided that the brother or sister will continue to attend the School the following year </w:t>
      </w:r>
    </w:p>
    <w:p>
      <w:pPr>
        <w:pStyle w:val="ListParagraph"/>
        <w:numPr>
          <w:ilvl w:val="0"/>
          <w:numId w:val="7"/>
        </w:numPr>
        <w:rPr>
          <w:rFonts w:ascii="Myriad Pro" w:hAnsi="Myriad Pro" w:cs="Arial"/>
          <w:sz w:val="24"/>
          <w:szCs w:val="24"/>
        </w:rPr>
      </w:pPr>
      <w:r>
        <w:rPr>
          <w:rFonts w:ascii="Myriad Pro" w:hAnsi="Myriad Pro" w:cs="Arial"/>
          <w:sz w:val="24"/>
          <w:szCs w:val="24"/>
        </w:rPr>
        <w:t xml:space="preserve">Other children who live in the catchment area served by the School. </w:t>
      </w:r>
    </w:p>
    <w:p>
      <w:pPr>
        <w:pStyle w:val="ListParagraph"/>
        <w:numPr>
          <w:ilvl w:val="0"/>
          <w:numId w:val="7"/>
        </w:numPr>
        <w:rPr>
          <w:rFonts w:ascii="Myriad Pro" w:hAnsi="Myriad Pro" w:cs="Arial"/>
          <w:sz w:val="24"/>
          <w:szCs w:val="24"/>
        </w:rPr>
      </w:pPr>
      <w:r>
        <w:rPr>
          <w:rFonts w:ascii="Myriad Pro" w:hAnsi="Myriad Pro" w:cs="Arial"/>
          <w:sz w:val="24"/>
          <w:szCs w:val="24"/>
        </w:rPr>
        <w:t xml:space="preserve">Children living outside the catchment area with a brother or sister who currently attends the School provided that the brother or sister will continue to attend the School the following year; </w:t>
      </w:r>
    </w:p>
    <w:p>
      <w:pPr>
        <w:pStyle w:val="ListParagraph"/>
        <w:numPr>
          <w:ilvl w:val="0"/>
          <w:numId w:val="7"/>
        </w:numPr>
        <w:spacing w:after="0"/>
        <w:rPr>
          <w:rFonts w:ascii="Myriad Pro" w:hAnsi="Myriad Pro" w:cs="Arial"/>
          <w:sz w:val="24"/>
          <w:szCs w:val="24"/>
        </w:rPr>
      </w:pPr>
      <w:r>
        <w:rPr>
          <w:rFonts w:ascii="Myriad Pro" w:hAnsi="Myriad Pro" w:cs="Arial"/>
          <w:sz w:val="24"/>
          <w:szCs w:val="24"/>
        </w:rPr>
        <w:t>Children by reference to the distance to the preferred school.</w:t>
      </w:r>
    </w:p>
    <w:p>
      <w:pPr>
        <w:rPr>
          <w:rFonts w:ascii="Myriad Pro" w:hAnsi="Myriad Pro" w:cs="Arial"/>
          <w:sz w:val="28"/>
          <w:szCs w:val="24"/>
        </w:rPr>
      </w:pPr>
      <w:r>
        <w:rPr>
          <w:rFonts w:ascii="Myriad Pro" w:hAnsi="Myriad Pro" w:cs="Arial"/>
          <w:sz w:val="24"/>
          <w:szCs w:val="24"/>
        </w:rPr>
        <w:t xml:space="preserve"> </w:t>
      </w:r>
    </w:p>
    <w:p>
      <w:pPr>
        <w:autoSpaceDE w:val="0"/>
        <w:autoSpaceDN w:val="0"/>
        <w:adjustRightInd w:val="0"/>
        <w:spacing w:after="0" w:line="240" w:lineRule="auto"/>
        <w:rPr>
          <w:rFonts w:ascii="Myriad Pro" w:hAnsi="Myriad Pro" w:cs="CIDFont+F1"/>
          <w:sz w:val="24"/>
          <w:szCs w:val="20"/>
        </w:rPr>
      </w:pPr>
      <w:r>
        <w:rPr>
          <w:rFonts w:ascii="Myriad Pro" w:hAnsi="Myriad Pro" w:cs="CIDFont+F1"/>
          <w:sz w:val="24"/>
          <w:szCs w:val="20"/>
        </w:rPr>
        <w:t>If it is not possible to meet all of the requests in any one of the categories described above, the</w:t>
      </w:r>
      <w:r>
        <w:rPr>
          <w:rFonts w:ascii="Myriad Pro" w:hAnsi="Myriad Pro" w:cs="CIDFont+F1"/>
          <w:sz w:val="24"/>
          <w:szCs w:val="20"/>
        </w:rPr>
        <w:t xml:space="preserve"> </w:t>
      </w:r>
      <w:r>
        <w:rPr>
          <w:rFonts w:ascii="Myriad Pro" w:hAnsi="Myriad Pro" w:cs="CIDFont+F1"/>
          <w:sz w:val="24"/>
          <w:szCs w:val="20"/>
        </w:rPr>
        <w:t>Academy will prioritise the requests by reference to distance.</w:t>
      </w:r>
    </w:p>
    <w:p>
      <w:pPr>
        <w:autoSpaceDE w:val="0"/>
        <w:autoSpaceDN w:val="0"/>
        <w:adjustRightInd w:val="0"/>
        <w:spacing w:after="0" w:line="240" w:lineRule="auto"/>
        <w:rPr>
          <w:rFonts w:ascii="Myriad Pro" w:hAnsi="Myriad Pro" w:cs="Arial"/>
          <w:sz w:val="32"/>
          <w:szCs w:val="24"/>
        </w:rPr>
      </w:pPr>
    </w:p>
    <w:p>
      <w:pPr>
        <w:rPr>
          <w:rFonts w:ascii="Myriad Pro" w:hAnsi="Myriad Pro" w:cs="Arial"/>
          <w:b/>
          <w:sz w:val="24"/>
          <w:szCs w:val="24"/>
          <w:u w:val="single"/>
        </w:rPr>
      </w:pPr>
      <w:r>
        <w:rPr>
          <w:rFonts w:ascii="Myriad Pro" w:hAnsi="Myriad Pro" w:cs="Arial"/>
          <w:b/>
          <w:sz w:val="24"/>
          <w:szCs w:val="24"/>
          <w:u w:val="single"/>
        </w:rPr>
        <w:lastRenderedPageBreak/>
        <w:t>Further information about oversubscription criteria:</w:t>
      </w:r>
    </w:p>
    <w:p>
      <w:pPr>
        <w:rPr>
          <w:rFonts w:ascii="Myriad Pro" w:hAnsi="Myriad Pro" w:cs="Arial"/>
          <w:b/>
          <w:sz w:val="24"/>
          <w:szCs w:val="24"/>
        </w:rPr>
      </w:pPr>
      <w:r>
        <w:rPr>
          <w:rFonts w:ascii="Myriad Pro" w:hAnsi="Myriad Pro" w:cs="Arial"/>
          <w:b/>
          <w:sz w:val="24"/>
          <w:szCs w:val="24"/>
        </w:rPr>
        <w:t>Catchment area</w:t>
      </w:r>
    </w:p>
    <w:p>
      <w:pPr>
        <w:rPr>
          <w:rStyle w:val="Hyperlink"/>
          <w:rFonts w:ascii="Myriad Pro" w:hAnsi="Myriad Pro" w:cs="Arial"/>
          <w:sz w:val="24"/>
          <w:szCs w:val="24"/>
        </w:rPr>
      </w:pPr>
      <w:r>
        <w:rPr>
          <w:rFonts w:ascii="Myriad Pro" w:hAnsi="Myriad Pro" w:cs="Arial"/>
          <w:sz w:val="24"/>
          <w:szCs w:val="24"/>
        </w:rPr>
        <w:t xml:space="preserve">One of the aims of local schools is to serve its neighbourhood and develop links with the local community to strengthen the school and the community. The area served by a school is known as the catchment area and details of specific catchment areas are available at </w:t>
      </w:r>
      <w:hyperlink r:id="rId14" w:history="1">
        <w:r>
          <w:rPr>
            <w:rStyle w:val="Hyperlink"/>
            <w:rFonts w:ascii="Myriad Pro" w:hAnsi="Myriad Pro" w:cs="Arial"/>
            <w:sz w:val="24"/>
            <w:szCs w:val="24"/>
          </w:rPr>
          <w:t>https://www.coventry.gov.uk/catchmentareas</w:t>
        </w:r>
      </w:hyperlink>
    </w:p>
    <w:p>
      <w:pPr>
        <w:rPr>
          <w:rStyle w:val="Hyperlink"/>
          <w:rFonts w:ascii="Myriad Pro" w:hAnsi="Myriad Pro" w:cs="Arial"/>
          <w:color w:val="000000" w:themeColor="text1"/>
          <w:sz w:val="24"/>
          <w:szCs w:val="24"/>
          <w:u w:val="none"/>
        </w:rPr>
      </w:pPr>
      <w:r>
        <w:rPr>
          <w:rStyle w:val="Hyperlink"/>
          <w:rFonts w:ascii="Myriad Pro" w:hAnsi="Myriad Pro" w:cs="Arial"/>
          <w:color w:val="000000" w:themeColor="text1"/>
          <w:sz w:val="24"/>
          <w:szCs w:val="24"/>
          <w:u w:val="none"/>
        </w:rPr>
        <w:t xml:space="preserve">The catchment area for </w:t>
      </w:r>
      <w:proofErr w:type="spellStart"/>
      <w:r>
        <w:rPr>
          <w:rStyle w:val="Hyperlink"/>
          <w:rFonts w:ascii="Myriad Pro" w:hAnsi="Myriad Pro" w:cs="Arial"/>
          <w:color w:val="000000" w:themeColor="text1"/>
          <w:sz w:val="24"/>
          <w:szCs w:val="24"/>
          <w:u w:val="none"/>
        </w:rPr>
        <w:t>Keresley</w:t>
      </w:r>
      <w:proofErr w:type="spellEnd"/>
      <w:r>
        <w:rPr>
          <w:rStyle w:val="Hyperlink"/>
          <w:rFonts w:ascii="Myriad Pro" w:hAnsi="Myriad Pro" w:cs="Arial"/>
          <w:color w:val="000000" w:themeColor="text1"/>
          <w:sz w:val="24"/>
          <w:szCs w:val="24"/>
          <w:u w:val="none"/>
        </w:rPr>
        <w:t xml:space="preserve"> Grange is listed in Appendix 1</w:t>
      </w:r>
    </w:p>
    <w:p>
      <w:pPr>
        <w:rPr>
          <w:rFonts w:ascii="Myriad Pro" w:hAnsi="Myriad Pro" w:cs="Arial"/>
          <w:b/>
          <w:sz w:val="24"/>
          <w:szCs w:val="24"/>
        </w:rPr>
      </w:pPr>
      <w:r>
        <w:rPr>
          <w:rFonts w:ascii="Myriad Pro" w:hAnsi="Myriad Pro" w:cs="Arial"/>
          <w:b/>
          <w:sz w:val="24"/>
          <w:szCs w:val="24"/>
        </w:rPr>
        <w:t>Home address</w:t>
      </w:r>
    </w:p>
    <w:p>
      <w:pPr>
        <w:rPr>
          <w:rFonts w:ascii="Myriad Pro" w:hAnsi="Myriad Pro" w:cs="Arial"/>
          <w:sz w:val="24"/>
          <w:szCs w:val="24"/>
        </w:rPr>
      </w:pPr>
      <w:r>
        <w:rPr>
          <w:rFonts w:ascii="Myriad Pro" w:hAnsi="Myriad Pro" w:cs="Arial"/>
          <w:sz w:val="24"/>
          <w:szCs w:val="24"/>
        </w:rPr>
        <w:t xml:space="preserve"> A pupil's home address is considered to be a residential property that is the child's only or main residence.  At the time places are allocated, proof of permanent residence at the property concerned may be required. Where documentary evidence can substantiate to the satisfaction of the Local Authority that care is split equally between parents at two homes, parents must name the address to be used for the purpose of allocating a school place</w:t>
      </w:r>
    </w:p>
    <w:p>
      <w:pPr>
        <w:rPr>
          <w:rFonts w:ascii="Myriad Pro" w:hAnsi="Myriad Pro" w:cs="Arial"/>
          <w:b/>
          <w:sz w:val="24"/>
          <w:szCs w:val="24"/>
        </w:rPr>
      </w:pPr>
      <w:r>
        <w:rPr>
          <w:rFonts w:ascii="Myriad Pro" w:hAnsi="Myriad Pro" w:cs="Arial"/>
          <w:b/>
          <w:sz w:val="24"/>
          <w:szCs w:val="24"/>
        </w:rPr>
        <w:t>If a school is offered on the basis of an address that is subsequently found to be different from a child's normal and permanent home address, then that place is liable to withdrawal.</w:t>
      </w:r>
    </w:p>
    <w:p>
      <w:pPr>
        <w:rPr>
          <w:rFonts w:ascii="Myriad Pro" w:hAnsi="Myriad Pro" w:cs="Arial"/>
          <w:sz w:val="24"/>
          <w:szCs w:val="24"/>
        </w:rPr>
      </w:pPr>
      <w:r>
        <w:rPr>
          <w:rFonts w:ascii="Myriad Pro" w:hAnsi="Myriad Pro" w:cs="Arial"/>
          <w:sz w:val="24"/>
          <w:szCs w:val="24"/>
        </w:rPr>
        <w:t>Children of UK service personnel and other Crown Servants will be treated as meeting the residency criteria for a catchment area once proof of posting has been provided</w:t>
      </w:r>
    </w:p>
    <w:p>
      <w:pPr>
        <w:rPr>
          <w:rFonts w:ascii="Myriad Pro" w:hAnsi="Myriad Pro" w:cs="Arial"/>
          <w:sz w:val="24"/>
          <w:szCs w:val="24"/>
        </w:rPr>
      </w:pPr>
      <w:r>
        <w:rPr>
          <w:rFonts w:ascii="Myriad Pro" w:hAnsi="Myriad Pro" w:cs="Arial"/>
          <w:b/>
          <w:bCs/>
          <w:sz w:val="24"/>
          <w:szCs w:val="24"/>
        </w:rPr>
        <w:t xml:space="preserve">Brothers and Sisters  </w:t>
      </w:r>
    </w:p>
    <w:p>
      <w:pPr>
        <w:rPr>
          <w:rFonts w:ascii="Myriad Pro" w:hAnsi="Myriad Pro" w:cs="Arial"/>
          <w:b/>
          <w:sz w:val="24"/>
          <w:szCs w:val="24"/>
        </w:rPr>
      </w:pPr>
      <w:r>
        <w:rPr>
          <w:rFonts w:ascii="Myriad Pro" w:hAnsi="Myriad Pro" w:cs="Arial"/>
          <w:sz w:val="24"/>
          <w:szCs w:val="24"/>
        </w:rPr>
        <w:t xml:space="preserve">The Academy sees the benefits of children from the same family attending the same school and gives priority to brother and / or sister connections in its policy for allocating places. </w:t>
      </w:r>
      <w:r>
        <w:rPr>
          <w:rFonts w:ascii="Myriad Pro" w:hAnsi="Myriad Pro" w:cs="Arial"/>
          <w:bCs/>
          <w:sz w:val="24"/>
          <w:szCs w:val="24"/>
        </w:rPr>
        <w:t xml:space="preserve">The definition of brother or sister includes step-brothers, step-sisters, half-brothers, half-sisters and adopted brothers and sisters living at the same permanent address. </w:t>
      </w:r>
      <w:r>
        <w:rPr>
          <w:rFonts w:ascii="Myriad Pro" w:hAnsi="Myriad Pro" w:cs="Arial"/>
          <w:sz w:val="24"/>
          <w:szCs w:val="24"/>
        </w:rPr>
        <w:t>However, where schools are over-</w:t>
      </w:r>
      <w:proofErr w:type="gramStart"/>
      <w:r>
        <w:rPr>
          <w:rFonts w:ascii="Myriad Pro" w:hAnsi="Myriad Pro" w:cs="Arial"/>
          <w:sz w:val="24"/>
          <w:szCs w:val="24"/>
        </w:rPr>
        <w:t>subscribed</w:t>
      </w:r>
      <w:proofErr w:type="gramEnd"/>
      <w:r>
        <w:rPr>
          <w:rFonts w:ascii="Myriad Pro" w:hAnsi="Myriad Pro" w:cs="Arial"/>
          <w:sz w:val="24"/>
          <w:szCs w:val="24"/>
        </w:rPr>
        <w:t xml:space="preserve"> no guarantee can be given that places will be available for brothers and sisters. </w:t>
      </w:r>
    </w:p>
    <w:p>
      <w:pPr>
        <w:rPr>
          <w:rFonts w:ascii="Myriad Pro" w:hAnsi="Myriad Pro" w:cs="Arial"/>
          <w:b/>
          <w:sz w:val="24"/>
          <w:szCs w:val="24"/>
          <w:u w:val="single"/>
        </w:rPr>
      </w:pPr>
      <w:r>
        <w:rPr>
          <w:rFonts w:ascii="Myriad Pro" w:hAnsi="Myriad Pro" w:cs="Arial"/>
          <w:b/>
          <w:sz w:val="24"/>
          <w:szCs w:val="24"/>
          <w:u w:val="single"/>
        </w:rPr>
        <w:t>Tie break</w:t>
      </w:r>
    </w:p>
    <w:p>
      <w:pPr>
        <w:rPr>
          <w:rFonts w:ascii="Myriad Pro" w:hAnsi="Myriad Pro" w:cs="Arial"/>
          <w:sz w:val="24"/>
          <w:szCs w:val="24"/>
        </w:rPr>
      </w:pPr>
      <w:r>
        <w:rPr>
          <w:rFonts w:ascii="Myriad Pro" w:hAnsi="Myriad Pro" w:cs="Arial"/>
          <w:sz w:val="24"/>
          <w:szCs w:val="24"/>
        </w:rPr>
        <w:t>If it is not possible to meet all of the requests in any one of the categories described above, the Academy will prioritise the requests within that category by reference to distance.  A straight-line measurement will be made, using a computerised mapping system, from the centre of the child's residence - to the centre of the preferred school site. The address used must be the child's permanent home address. The shortest measurement will have the highest priority. Where the final place in a year group can be taken by two or more children living an equal distance from the school, the school governors, overseen independently, will select by drawing lots</w:t>
      </w:r>
    </w:p>
    <w:p>
      <w:pPr>
        <w:rPr>
          <w:rFonts w:ascii="Myriad Pro" w:hAnsi="Myriad Pro" w:cs="Arial"/>
          <w:sz w:val="24"/>
          <w:szCs w:val="24"/>
        </w:rPr>
      </w:pPr>
    </w:p>
    <w:p>
      <w:pPr>
        <w:rPr>
          <w:rFonts w:ascii="Myriad Pro" w:hAnsi="Myriad Pro" w:cs="Arial"/>
          <w:b/>
          <w:sz w:val="24"/>
          <w:szCs w:val="24"/>
          <w:u w:val="single"/>
        </w:rPr>
      </w:pPr>
      <w:r>
        <w:rPr>
          <w:rFonts w:ascii="Myriad Pro" w:hAnsi="Myriad Pro" w:cs="Arial"/>
          <w:b/>
          <w:sz w:val="24"/>
          <w:szCs w:val="24"/>
          <w:u w:val="single"/>
        </w:rPr>
        <w:t xml:space="preserve">Requests for admission outside the normal age group </w:t>
      </w:r>
    </w:p>
    <w:p>
      <w:pPr>
        <w:rPr>
          <w:rFonts w:ascii="Myriad Pro" w:hAnsi="Myriad Pro" w:cs="Arial"/>
          <w:sz w:val="24"/>
          <w:szCs w:val="24"/>
        </w:rPr>
      </w:pPr>
      <w:r>
        <w:rPr>
          <w:rFonts w:ascii="Myriad Pro" w:hAnsi="Myriad Pro" w:cs="Arial"/>
          <w:sz w:val="24"/>
          <w:szCs w:val="24"/>
        </w:rPr>
        <w:lastRenderedPageBreak/>
        <w:t xml:space="preserve">Parents may seek a place for their child outside of their normal age group.  They should complete a request form provided by your home local authority. The Academy would recommend parents who are considering this to contact school prior to application to discuss the request.  All requests will be processed by Coventry admissions team and they will notify the school about any out of normal age group requests and we will contact parents to arrange a meeting with the Headteacher.   Decisions on requests for admission outside the normal age group will be made on the basis of the circumstances of each case and in the best interests of the child concerned. In accordance with the School Admissions Code, this will include taking account of: </w:t>
      </w:r>
    </w:p>
    <w:p>
      <w:pPr>
        <w:pStyle w:val="ListParagraph"/>
        <w:ind w:left="567"/>
        <w:rPr>
          <w:rFonts w:ascii="Myriad Pro" w:hAnsi="Myriad Pro" w:cs="Arial"/>
          <w:sz w:val="24"/>
          <w:szCs w:val="24"/>
        </w:rPr>
      </w:pPr>
      <w:r>
        <w:rPr>
          <w:rFonts w:ascii="Myriad Pro" w:hAnsi="Myriad Pro" w:cs="Arial"/>
          <w:sz w:val="24"/>
          <w:szCs w:val="24"/>
        </w:rPr>
        <w:t xml:space="preserve">• Parents’ views </w:t>
      </w:r>
    </w:p>
    <w:p>
      <w:pPr>
        <w:pStyle w:val="ListParagraph"/>
        <w:ind w:left="567"/>
        <w:rPr>
          <w:rFonts w:ascii="Myriad Pro" w:hAnsi="Myriad Pro" w:cs="Arial"/>
          <w:sz w:val="24"/>
          <w:szCs w:val="24"/>
        </w:rPr>
      </w:pPr>
      <w:r>
        <w:rPr>
          <w:rFonts w:ascii="Myriad Pro" w:hAnsi="Myriad Pro" w:cs="Arial"/>
          <w:sz w:val="24"/>
          <w:szCs w:val="24"/>
        </w:rPr>
        <w:t xml:space="preserve">• Information about the child’s academic, social and emotional development </w:t>
      </w:r>
    </w:p>
    <w:p>
      <w:pPr>
        <w:pStyle w:val="ListParagraph"/>
        <w:ind w:left="567"/>
        <w:rPr>
          <w:rFonts w:ascii="Myriad Pro" w:hAnsi="Myriad Pro" w:cs="Arial"/>
          <w:sz w:val="24"/>
          <w:szCs w:val="24"/>
        </w:rPr>
      </w:pPr>
      <w:r>
        <w:rPr>
          <w:rFonts w:ascii="Myriad Pro" w:hAnsi="Myriad Pro" w:cs="Arial"/>
          <w:sz w:val="24"/>
          <w:szCs w:val="24"/>
        </w:rPr>
        <w:t xml:space="preserve">• Where relevant, their medical history and the views of a medical professional </w:t>
      </w:r>
    </w:p>
    <w:p>
      <w:pPr>
        <w:pStyle w:val="ListParagraph"/>
        <w:ind w:left="567"/>
        <w:rPr>
          <w:rFonts w:ascii="Myriad Pro" w:hAnsi="Myriad Pro" w:cs="Arial"/>
          <w:sz w:val="24"/>
          <w:szCs w:val="24"/>
        </w:rPr>
      </w:pPr>
      <w:r>
        <w:rPr>
          <w:rFonts w:ascii="Myriad Pro" w:hAnsi="Myriad Pro" w:cs="Arial"/>
          <w:sz w:val="24"/>
          <w:szCs w:val="24"/>
        </w:rPr>
        <w:t xml:space="preserve">• Whether they have previously been educated out of their normal age group </w:t>
      </w:r>
    </w:p>
    <w:p>
      <w:pPr>
        <w:pStyle w:val="ListParagraph"/>
        <w:ind w:left="567"/>
        <w:rPr>
          <w:rFonts w:ascii="Myriad Pro" w:hAnsi="Myriad Pro" w:cs="Arial"/>
          <w:sz w:val="24"/>
          <w:szCs w:val="24"/>
        </w:rPr>
      </w:pPr>
      <w:r>
        <w:rPr>
          <w:rFonts w:ascii="Myriad Pro" w:hAnsi="Myriad Pro" w:cs="Arial"/>
          <w:sz w:val="24"/>
          <w:szCs w:val="24"/>
        </w:rPr>
        <w:t xml:space="preserve">• Whether they may naturally have fallen into a lower age group if it were not for being born prematurely </w:t>
      </w:r>
    </w:p>
    <w:p>
      <w:pPr>
        <w:pStyle w:val="ListParagraph"/>
        <w:ind w:left="567"/>
        <w:rPr>
          <w:rFonts w:ascii="Myriad Pro" w:hAnsi="Myriad Pro" w:cs="Arial"/>
          <w:sz w:val="24"/>
          <w:szCs w:val="24"/>
        </w:rPr>
      </w:pPr>
      <w:r>
        <w:rPr>
          <w:rFonts w:ascii="Myriad Pro" w:hAnsi="Myriad Pro" w:cs="Arial"/>
          <w:sz w:val="24"/>
          <w:szCs w:val="24"/>
        </w:rPr>
        <w:t xml:space="preserve">• The headteacher’s views </w:t>
      </w:r>
    </w:p>
    <w:p>
      <w:pPr>
        <w:pStyle w:val="ListParagraph"/>
        <w:ind w:left="567"/>
        <w:rPr>
          <w:rFonts w:ascii="Myriad Pro" w:hAnsi="Myriad Pro" w:cs="Arial"/>
          <w:sz w:val="24"/>
          <w:szCs w:val="24"/>
        </w:rPr>
      </w:pPr>
    </w:p>
    <w:p>
      <w:pPr>
        <w:rPr>
          <w:rFonts w:ascii="Myriad Pro" w:hAnsi="Myriad Pro" w:cs="Arial"/>
          <w:sz w:val="24"/>
          <w:szCs w:val="24"/>
        </w:rPr>
      </w:pPr>
      <w:r>
        <w:rPr>
          <w:rFonts w:ascii="Myriad Pro" w:hAnsi="Myriad Pro" w:cs="Arial"/>
          <w:sz w:val="24"/>
          <w:szCs w:val="24"/>
        </w:rPr>
        <w:t>Wherever possible, requests for admission outside a child’s normal age group will be processed as part of the main admissions round. They will be considered on the basis of the admission arrangements laid out in this policy, including the oversubscription criteria. Applications will not be treated as a lower priority if 3 parents have made a request for a child to be admitted outside the normal age group. Parents will always be informed of the reasons for any decision on the year group a child should be admitted to. Where the application is refused the parent has a right to an appeal against the refusal of a place, unless the child has been offered a place in another year group in the school.</w:t>
      </w:r>
    </w:p>
    <w:p>
      <w:pPr>
        <w:rPr>
          <w:rFonts w:ascii="Myriad Pro" w:hAnsi="Myriad Pro" w:cs="Arial"/>
          <w:sz w:val="24"/>
          <w:szCs w:val="24"/>
        </w:rPr>
      </w:pPr>
      <w:r>
        <w:rPr>
          <w:rFonts w:ascii="Myriad Pro" w:hAnsi="Myriad Pro" w:cs="Arial"/>
          <w:sz w:val="24"/>
          <w:szCs w:val="24"/>
        </w:rPr>
        <w:t>See more information at:</w:t>
      </w:r>
    </w:p>
    <w:p>
      <w:pPr>
        <w:rPr>
          <w:rFonts w:ascii="Myriad Pro" w:hAnsi="Myriad Pro" w:cs="Arial"/>
          <w:sz w:val="24"/>
          <w:szCs w:val="24"/>
        </w:rPr>
      </w:pPr>
      <w:hyperlink r:id="rId15" w:history="1">
        <w:r>
          <w:rPr>
            <w:rStyle w:val="Hyperlink"/>
            <w:rFonts w:ascii="Myriad Pro" w:hAnsi="Myriad Pro" w:cs="Arial"/>
            <w:sz w:val="24"/>
            <w:szCs w:val="24"/>
          </w:rPr>
          <w:t>http://www.coventry.gov.uk/downloads/file/28497/guidance_notes_for_applying_to_educate_out_ of_the_normal_chronological_age_group</w:t>
        </w:r>
      </w:hyperlink>
    </w:p>
    <w:p>
      <w:pPr>
        <w:rPr>
          <w:rFonts w:ascii="Myriad Pro" w:hAnsi="Myriad Pro" w:cs="Arial"/>
          <w:sz w:val="24"/>
          <w:szCs w:val="24"/>
        </w:rPr>
      </w:pPr>
    </w:p>
    <w:p>
      <w:pPr>
        <w:rPr>
          <w:rFonts w:ascii="Myriad Pro" w:hAnsi="Myriad Pro" w:cs="Arial"/>
          <w:b/>
          <w:sz w:val="24"/>
          <w:szCs w:val="24"/>
          <w:u w:val="single"/>
        </w:rPr>
      </w:pPr>
      <w:r>
        <w:rPr>
          <w:rFonts w:ascii="Myriad Pro" w:hAnsi="Myriad Pro" w:cs="Arial"/>
          <w:b/>
          <w:sz w:val="24"/>
          <w:szCs w:val="24"/>
          <w:u w:val="single"/>
        </w:rPr>
        <w:t>Deferred Entry</w:t>
      </w:r>
    </w:p>
    <w:p>
      <w:pPr>
        <w:spacing w:after="0" w:line="240" w:lineRule="auto"/>
        <w:rPr>
          <w:rFonts w:ascii="Myriad Pro" w:eastAsia="Times New Roman" w:hAnsi="Myriad Pro" w:cs="Arial"/>
          <w:sz w:val="24"/>
          <w:szCs w:val="24"/>
          <w:lang w:eastAsia="en-GB"/>
        </w:rPr>
      </w:pPr>
      <w:r>
        <w:rPr>
          <w:rFonts w:ascii="Myriad Pro" w:eastAsia="Times New Roman" w:hAnsi="Myriad Pro" w:cs="Arial"/>
          <w:sz w:val="24"/>
          <w:szCs w:val="24"/>
          <w:lang w:eastAsia="en-GB"/>
        </w:rPr>
        <w:t xml:space="preserve">Where children below compulsory school age </w:t>
      </w:r>
      <w:proofErr w:type="gramStart"/>
      <w:r>
        <w:rPr>
          <w:rFonts w:ascii="Myriad Pro" w:eastAsia="Times New Roman" w:hAnsi="Myriad Pro" w:cs="Arial"/>
          <w:sz w:val="24"/>
          <w:szCs w:val="24"/>
          <w:lang w:eastAsia="en-GB"/>
        </w:rPr>
        <w:t>are</w:t>
      </w:r>
      <w:proofErr w:type="gramEnd"/>
      <w:r>
        <w:rPr>
          <w:rFonts w:ascii="Myriad Pro" w:eastAsia="Times New Roman" w:hAnsi="Myriad Pro" w:cs="Arial"/>
          <w:sz w:val="24"/>
          <w:szCs w:val="24"/>
          <w:lang w:eastAsia="en-GB"/>
        </w:rPr>
        <w:t xml:space="preserve"> offered a place at the school, they will be entitled to attend the school full-time in the September following their fourth birthday. Parents may defer their child’s entry to the school until later in the school year but not beyond the point at which the child reaches compulsory school age, and not beyond the beginning of the final term of the school year the offer was made for.  Parents who wish to defer entry must complete applications for a place in the normal way through the Local Authority.  The Academy recommends that the parent/carer contact the headteacher of the school to discuss the matter in more detail prior to submitting the application.</w:t>
      </w:r>
    </w:p>
    <w:p>
      <w:pPr>
        <w:rPr>
          <w:rFonts w:ascii="Myriad Pro" w:hAnsi="Myriad Pro" w:cs="Arial"/>
          <w:b/>
          <w:sz w:val="24"/>
          <w:szCs w:val="24"/>
          <w:u w:val="single"/>
        </w:rPr>
      </w:pPr>
    </w:p>
    <w:p>
      <w:pPr>
        <w:rPr>
          <w:rFonts w:ascii="Myriad Pro" w:hAnsi="Myriad Pro" w:cs="Arial"/>
          <w:b/>
          <w:sz w:val="24"/>
          <w:szCs w:val="24"/>
          <w:u w:val="single"/>
        </w:rPr>
      </w:pPr>
      <w:r>
        <w:rPr>
          <w:rFonts w:ascii="Myriad Pro" w:hAnsi="Myriad Pro" w:cs="Arial"/>
          <w:b/>
          <w:sz w:val="24"/>
          <w:szCs w:val="24"/>
          <w:u w:val="single"/>
        </w:rPr>
        <w:t xml:space="preserve">Part time attendance </w:t>
      </w:r>
    </w:p>
    <w:p>
      <w:pPr>
        <w:rPr>
          <w:rFonts w:ascii="Myriad Pro" w:hAnsi="Myriad Pro" w:cs="Arial"/>
          <w:color w:val="242424"/>
          <w:sz w:val="24"/>
          <w:szCs w:val="24"/>
          <w:shd w:val="clear" w:color="auto" w:fill="FFFFFF"/>
        </w:rPr>
      </w:pPr>
      <w:r>
        <w:rPr>
          <w:rFonts w:ascii="Myriad Pro" w:hAnsi="Myriad Pro" w:cs="Arial"/>
          <w:color w:val="242424"/>
          <w:sz w:val="24"/>
          <w:szCs w:val="24"/>
          <w:shd w:val="clear" w:color="auto" w:fill="FFFFFF"/>
        </w:rPr>
        <w:lastRenderedPageBreak/>
        <w:t>Where the parents wish, children in Reception may attend part-time until later in the school year but not beyond the point at which they reach compulsory school age.</w:t>
      </w:r>
    </w:p>
    <w:p>
      <w:pPr>
        <w:rPr>
          <w:rFonts w:ascii="Myriad Pro" w:hAnsi="Myriad Pro" w:cs="Arial"/>
          <w:b/>
          <w:sz w:val="24"/>
          <w:szCs w:val="24"/>
          <w:u w:val="single"/>
        </w:rPr>
      </w:pPr>
      <w:r>
        <w:rPr>
          <w:rFonts w:ascii="Myriad Pro" w:hAnsi="Myriad Pro" w:cs="Arial"/>
          <w:b/>
          <w:sz w:val="24"/>
          <w:szCs w:val="24"/>
          <w:u w:val="single"/>
        </w:rPr>
        <w:t>Waiting List</w:t>
      </w:r>
    </w:p>
    <w:p>
      <w:pPr>
        <w:rPr>
          <w:rFonts w:ascii="Myriad Pro" w:hAnsi="Myriad Pro" w:cs="Arial"/>
          <w:sz w:val="24"/>
          <w:szCs w:val="24"/>
        </w:rPr>
      </w:pPr>
      <w:r>
        <w:rPr>
          <w:rFonts w:ascii="Myriad Pro" w:hAnsi="Myriad Pro" w:cs="Arial"/>
          <w:sz w:val="24"/>
          <w:szCs w:val="24"/>
        </w:rPr>
        <w:t xml:space="preserve">The Academy cannot always offer places at the school. If this is the case the child's name will be automatically placed on the Waiting List. If places become available, the Authority will allocate the places in accordance with the oversubscription criteria. Applicants may therefore move both up and down the list depending on whether others joining the list meet a higher ranked oversubscription criterion. </w:t>
      </w:r>
    </w:p>
    <w:p>
      <w:pPr>
        <w:rPr>
          <w:rFonts w:ascii="Myriad Pro" w:hAnsi="Myriad Pro" w:cs="Arial"/>
          <w:sz w:val="24"/>
          <w:szCs w:val="24"/>
        </w:rPr>
      </w:pPr>
      <w:r>
        <w:rPr>
          <w:rFonts w:ascii="Myriad Pro" w:hAnsi="Myriad Pro" w:cs="Arial"/>
          <w:sz w:val="24"/>
          <w:szCs w:val="24"/>
        </w:rPr>
        <w:t>Waiting Lists will remain in operation until the end of the 2026 Autumn Term (31</w:t>
      </w:r>
      <w:r>
        <w:rPr>
          <w:rFonts w:ascii="Myriad Pro" w:hAnsi="Myriad Pro" w:cs="Arial"/>
          <w:sz w:val="24"/>
          <w:szCs w:val="24"/>
          <w:vertAlign w:val="superscript"/>
        </w:rPr>
        <w:t>st</w:t>
      </w:r>
      <w:r>
        <w:rPr>
          <w:rFonts w:ascii="Myriad Pro" w:hAnsi="Myriad Pro" w:cs="Arial"/>
          <w:sz w:val="24"/>
          <w:szCs w:val="24"/>
        </w:rPr>
        <w:t xml:space="preserve"> December 2026).  After </w:t>
      </w:r>
      <w:proofErr w:type="gramStart"/>
      <w:r>
        <w:rPr>
          <w:rFonts w:ascii="Myriad Pro" w:hAnsi="Myriad Pro" w:cs="Arial"/>
          <w:sz w:val="24"/>
          <w:szCs w:val="24"/>
        </w:rPr>
        <w:t>this parents/carers</w:t>
      </w:r>
      <w:proofErr w:type="gramEnd"/>
      <w:r>
        <w:rPr>
          <w:rFonts w:ascii="Myriad Pro" w:hAnsi="Myriad Pro" w:cs="Arial"/>
          <w:sz w:val="24"/>
          <w:szCs w:val="24"/>
        </w:rPr>
        <w:t xml:space="preserve"> will need to contact the Admissions Team by the beginning of each term if they want to stay on the waiting list for the rest of the academic year.</w:t>
      </w:r>
    </w:p>
    <w:p>
      <w:pPr>
        <w:rPr>
          <w:rFonts w:ascii="Myriad Pro" w:hAnsi="Myriad Pro" w:cs="Arial"/>
          <w:color w:val="242424"/>
          <w:sz w:val="24"/>
          <w:szCs w:val="24"/>
          <w:shd w:val="clear" w:color="auto" w:fill="FFFFFF"/>
        </w:rPr>
      </w:pPr>
    </w:p>
    <w:p>
      <w:pPr>
        <w:rPr>
          <w:rFonts w:ascii="Myriad Pro" w:hAnsi="Myriad Pro" w:cs="Arial"/>
          <w:b/>
          <w:color w:val="242424"/>
          <w:sz w:val="24"/>
          <w:szCs w:val="24"/>
          <w:u w:val="single"/>
          <w:shd w:val="clear" w:color="auto" w:fill="FFFFFF"/>
        </w:rPr>
      </w:pPr>
      <w:r>
        <w:rPr>
          <w:rFonts w:ascii="Myriad Pro" w:hAnsi="Myriad Pro" w:cs="Arial"/>
          <w:b/>
          <w:color w:val="242424"/>
          <w:sz w:val="24"/>
          <w:szCs w:val="24"/>
          <w:u w:val="single"/>
          <w:shd w:val="clear" w:color="auto" w:fill="FFFFFF"/>
        </w:rPr>
        <w:t>How to apply</w:t>
      </w:r>
    </w:p>
    <w:p>
      <w:pPr>
        <w:rPr>
          <w:rFonts w:ascii="Myriad Pro" w:hAnsi="Myriad Pro" w:cs="Arial"/>
          <w:sz w:val="24"/>
          <w:szCs w:val="24"/>
        </w:rPr>
      </w:pPr>
      <w:r>
        <w:rPr>
          <w:rFonts w:ascii="Myriad Pro" w:hAnsi="Myriad Pro" w:cs="Arial"/>
          <w:b/>
          <w:sz w:val="24"/>
          <w:szCs w:val="24"/>
        </w:rPr>
        <w:t>For applications in the normal admissions round</w:t>
      </w:r>
      <w:r>
        <w:rPr>
          <w:rFonts w:ascii="Myriad Pro" w:hAnsi="Myriad Pro" w:cs="Arial"/>
          <w:sz w:val="24"/>
          <w:szCs w:val="24"/>
        </w:rPr>
        <w:t xml:space="preserve"> you should use the application form provided by your home local authority (regardless of which local authority the schools are in). You can use this form to express your preference for a minimum of 3 state-funded schools, in rank order. You will receive an offer for a school place directly from your local authority. </w:t>
      </w:r>
    </w:p>
    <w:p>
      <w:pPr>
        <w:rPr>
          <w:rFonts w:ascii="Myriad Pro" w:hAnsi="Myriad Pro" w:cs="Arial"/>
          <w:sz w:val="24"/>
          <w:szCs w:val="24"/>
        </w:rPr>
      </w:pPr>
      <w:r>
        <w:rPr>
          <w:rFonts w:ascii="Myriad Pro" w:hAnsi="Myriad Pro" w:cs="Arial"/>
          <w:sz w:val="24"/>
          <w:szCs w:val="24"/>
        </w:rPr>
        <w:t xml:space="preserve">If places are oversubscribed the oversubscription criteria in stated above will be followed. All children with an Education, Health and Care Plan (EHC) that name the school will be given priority before all other applicants. </w:t>
      </w:r>
    </w:p>
    <w:p>
      <w:pPr>
        <w:rPr>
          <w:rStyle w:val="Hyperlink"/>
          <w:rFonts w:ascii="Myriad Pro" w:hAnsi="Myriad Pro" w:cs="Arial"/>
          <w:sz w:val="24"/>
          <w:szCs w:val="24"/>
        </w:rPr>
      </w:pPr>
      <w:r>
        <w:rPr>
          <w:rFonts w:ascii="Myriad Pro" w:hAnsi="Myriad Pro" w:cs="Arial"/>
          <w:sz w:val="24"/>
          <w:szCs w:val="24"/>
        </w:rPr>
        <w:t xml:space="preserve">Applications are made through Coventry City Council: </w:t>
      </w:r>
      <w:hyperlink r:id="rId16" w:history="1">
        <w:r>
          <w:rPr>
            <w:rStyle w:val="Hyperlink"/>
            <w:rFonts w:ascii="Myriad Pro" w:hAnsi="Myriad Pro" w:cs="Arial"/>
            <w:sz w:val="24"/>
            <w:szCs w:val="24"/>
          </w:rPr>
          <w:t>https://www.coventry.gov.uk/school-admissions/primary-school-admissions</w:t>
        </w:r>
      </w:hyperlink>
    </w:p>
    <w:p>
      <w:pPr>
        <w:rPr>
          <w:rFonts w:ascii="Myriad Pro" w:hAnsi="Myriad Pro" w:cs="Arial"/>
          <w:b/>
          <w:sz w:val="24"/>
          <w:szCs w:val="24"/>
        </w:rPr>
      </w:pPr>
      <w:r>
        <w:rPr>
          <w:rFonts w:ascii="Myriad Pro" w:hAnsi="Myriad Pro" w:cs="Arial"/>
          <w:b/>
          <w:sz w:val="24"/>
          <w:szCs w:val="24"/>
        </w:rPr>
        <w:t>For applications outside of the normal admissions round (in-year admissions)</w:t>
      </w:r>
    </w:p>
    <w:p>
      <w:pPr>
        <w:rPr>
          <w:rFonts w:ascii="Myriad Pro" w:hAnsi="Myriad Pro" w:cs="Arial"/>
          <w:sz w:val="24"/>
          <w:szCs w:val="24"/>
        </w:rPr>
      </w:pPr>
      <w:r>
        <w:rPr>
          <w:rFonts w:ascii="Myriad Pro" w:hAnsi="Myriad Pro" w:cs="Arial"/>
          <w:sz w:val="24"/>
          <w:szCs w:val="24"/>
        </w:rPr>
        <w:t>You can apply for a place for your child at any time outside the normal admissions round via the City Council. As</w:t>
      </w:r>
      <w:r>
        <w:rPr>
          <w:rFonts w:ascii="Myriad Pro" w:hAnsi="Myriad Pro" w:cs="Arial"/>
          <w:sz w:val="24"/>
          <w:szCs w:val="24"/>
        </w:rPr>
        <w:t xml:space="preserve"> </w:t>
      </w:r>
      <w:r>
        <w:rPr>
          <w:rFonts w:ascii="Myriad Pro" w:hAnsi="Myriad Pro" w:cs="Arial"/>
          <w:sz w:val="24"/>
          <w:szCs w:val="24"/>
        </w:rPr>
        <w:t>is the case in the normal admissions round, all children whose Education, Health and Care Plan (EHC) names the</w:t>
      </w:r>
      <w:r>
        <w:rPr>
          <w:rFonts w:ascii="Myriad Pro" w:hAnsi="Myriad Pro" w:cs="Arial"/>
          <w:sz w:val="24"/>
          <w:szCs w:val="24"/>
        </w:rPr>
        <w:t xml:space="preserve"> </w:t>
      </w:r>
      <w:r>
        <w:rPr>
          <w:rFonts w:ascii="Myriad Pro" w:hAnsi="Myriad Pro" w:cs="Arial"/>
          <w:sz w:val="24"/>
          <w:szCs w:val="24"/>
        </w:rPr>
        <w:t>school will be admitted. Likewise, through co-ordination with the City Council, if there are spaces available in the</w:t>
      </w:r>
      <w:r>
        <w:rPr>
          <w:rFonts w:ascii="Myriad Pro" w:hAnsi="Myriad Pro" w:cs="Arial"/>
          <w:sz w:val="24"/>
          <w:szCs w:val="24"/>
        </w:rPr>
        <w:t xml:space="preserve"> </w:t>
      </w:r>
      <w:r>
        <w:rPr>
          <w:rFonts w:ascii="Myriad Pro" w:hAnsi="Myriad Pro" w:cs="Arial"/>
          <w:sz w:val="24"/>
          <w:szCs w:val="24"/>
        </w:rPr>
        <w:t>year group you are applying for, your child will always be offered a place. If there are no spaces available at the</w:t>
      </w:r>
      <w:r>
        <w:rPr>
          <w:rFonts w:ascii="Myriad Pro" w:hAnsi="Myriad Pro" w:cs="Arial"/>
          <w:sz w:val="24"/>
          <w:szCs w:val="24"/>
        </w:rPr>
        <w:t xml:space="preserve"> </w:t>
      </w:r>
      <w:r>
        <w:rPr>
          <w:rFonts w:ascii="Myriad Pro" w:hAnsi="Myriad Pro" w:cs="Arial"/>
          <w:sz w:val="24"/>
          <w:szCs w:val="24"/>
        </w:rPr>
        <w:t>time of your application, your child’s name will be added to a waiting list for the relevant year group. When a</w:t>
      </w:r>
      <w:r>
        <w:rPr>
          <w:rFonts w:ascii="Myriad Pro" w:hAnsi="Myriad Pro" w:cs="Arial"/>
          <w:sz w:val="24"/>
          <w:szCs w:val="24"/>
        </w:rPr>
        <w:t xml:space="preserve"> </w:t>
      </w:r>
      <w:r>
        <w:rPr>
          <w:rFonts w:ascii="Myriad Pro" w:hAnsi="Myriad Pro" w:cs="Arial"/>
          <w:sz w:val="24"/>
          <w:szCs w:val="24"/>
        </w:rPr>
        <w:t>space becomes available it will be filled by one of the pupils on the waiting list in accordance with the</w:t>
      </w:r>
      <w:r>
        <w:rPr>
          <w:rFonts w:ascii="Myriad Pro" w:hAnsi="Myriad Pro" w:cs="Arial"/>
          <w:sz w:val="24"/>
          <w:szCs w:val="24"/>
        </w:rPr>
        <w:t xml:space="preserve"> </w:t>
      </w:r>
      <w:r>
        <w:rPr>
          <w:rFonts w:ascii="Myriad Pro" w:hAnsi="Myriad Pro" w:cs="Arial"/>
          <w:sz w:val="24"/>
          <w:szCs w:val="24"/>
        </w:rPr>
        <w:t xml:space="preserve">oversubscription criteria listed </w:t>
      </w:r>
      <w:r>
        <w:rPr>
          <w:rFonts w:ascii="Myriad Pro" w:hAnsi="Myriad Pro" w:cs="Arial"/>
          <w:sz w:val="24"/>
          <w:szCs w:val="24"/>
        </w:rPr>
        <w:t>above</w:t>
      </w:r>
      <w:r>
        <w:rPr>
          <w:rFonts w:ascii="Myriad Pro" w:hAnsi="Myriad Pro" w:cs="Arial"/>
          <w:sz w:val="24"/>
          <w:szCs w:val="24"/>
        </w:rPr>
        <w:t>. Priority will not be given to children on the basis that</w:t>
      </w:r>
      <w:r>
        <w:rPr>
          <w:rFonts w:ascii="Myriad Pro" w:hAnsi="Myriad Pro" w:cs="Arial"/>
          <w:sz w:val="24"/>
          <w:szCs w:val="24"/>
        </w:rPr>
        <w:t xml:space="preserve"> </w:t>
      </w:r>
      <w:r>
        <w:rPr>
          <w:rFonts w:ascii="Myriad Pro" w:hAnsi="Myriad Pro" w:cs="Arial"/>
          <w:sz w:val="24"/>
          <w:szCs w:val="24"/>
        </w:rPr>
        <w:t>they have been on the waiting list the longest.</w:t>
      </w:r>
    </w:p>
    <w:p>
      <w:pPr>
        <w:rPr>
          <w:rStyle w:val="Hyperlink"/>
          <w:rFonts w:ascii="Myriad Pro" w:hAnsi="Myriad Pro" w:cs="Arial"/>
          <w:sz w:val="24"/>
          <w:szCs w:val="24"/>
          <w:highlight w:val="green"/>
        </w:rPr>
      </w:pPr>
    </w:p>
    <w:p>
      <w:pPr>
        <w:rPr>
          <w:rFonts w:ascii="Myriad Pro" w:hAnsi="Myriad Pro" w:cs="Arial"/>
          <w:sz w:val="24"/>
          <w:szCs w:val="24"/>
        </w:rPr>
      </w:pPr>
      <w:r>
        <w:rPr>
          <w:rFonts w:ascii="Myriad Pro" w:hAnsi="Myriad Pro" w:cs="Arial"/>
          <w:b/>
          <w:sz w:val="24"/>
          <w:szCs w:val="24"/>
        </w:rPr>
        <w:lastRenderedPageBreak/>
        <w:t>Appeals</w:t>
      </w:r>
      <w:r>
        <w:rPr>
          <w:rFonts w:ascii="Myriad Pro" w:hAnsi="Myriad Pro" w:cs="Arial"/>
          <w:sz w:val="24"/>
          <w:szCs w:val="24"/>
        </w:rPr>
        <w:t xml:space="preserve"> – If a place that is applied for is not allocated to the child, the parent can appeal against this decision.  The appeal will be heard by an independent panel.  More details can be found at:</w:t>
      </w:r>
    </w:p>
    <w:p>
      <w:pPr>
        <w:rPr>
          <w:rFonts w:ascii="Myriad Pro" w:hAnsi="Myriad Pro" w:cs="Arial"/>
          <w:sz w:val="24"/>
          <w:szCs w:val="24"/>
        </w:rPr>
      </w:pPr>
      <w:hyperlink r:id="rId17" w:history="1">
        <w:r>
          <w:rPr>
            <w:rStyle w:val="Hyperlink"/>
            <w:rFonts w:ascii="Myriad Pro" w:hAnsi="Myriad Pro" w:cs="Arial"/>
            <w:sz w:val="24"/>
            <w:szCs w:val="24"/>
          </w:rPr>
          <w:t>https://www.coventry.gov.uk/school-admissions/school-appeals</w:t>
        </w:r>
      </w:hyperlink>
    </w:p>
    <w:p>
      <w:pPr>
        <w:rPr>
          <w:rFonts w:ascii="Myriad Pro" w:hAnsi="Myriad Pro" w:cs="Arial"/>
          <w:sz w:val="24"/>
          <w:szCs w:val="24"/>
        </w:rPr>
      </w:pPr>
    </w:p>
    <w:p>
      <w:pPr>
        <w:rPr>
          <w:rFonts w:ascii="Myriad Pro" w:hAnsi="Myriad Pro" w:cs="Arial"/>
        </w:rPr>
      </w:pPr>
    </w:p>
    <w:p>
      <w:pPr>
        <w:rPr>
          <w:rFonts w:ascii="Myriad Pro" w:hAnsi="Myriad Pro" w:cs="Arial"/>
        </w:rPr>
      </w:pPr>
    </w:p>
    <w:p>
      <w:pPr>
        <w:rPr>
          <w:rFonts w:ascii="Myriad Pro" w:hAnsi="Myriad Pro" w:cs="Arial"/>
        </w:rPr>
      </w:pPr>
    </w:p>
    <w:p>
      <w:pPr>
        <w:rPr>
          <w:rFonts w:ascii="Myriad Pro" w:hAnsi="Myriad Pro" w:cs="Arial"/>
        </w:rPr>
      </w:pPr>
    </w:p>
    <w:p>
      <w:pPr>
        <w:rPr>
          <w:rFonts w:ascii="Myriad Pro" w:hAnsi="Myriad Pro" w:cs="Arial"/>
        </w:rPr>
      </w:pPr>
    </w:p>
    <w:p>
      <w:pPr>
        <w:rPr>
          <w:rFonts w:ascii="Myriad Pro" w:hAnsi="Myriad Pro" w:cs="Arial"/>
        </w:rPr>
      </w:pPr>
    </w:p>
    <w:p>
      <w:pPr>
        <w:rPr>
          <w:rFonts w:ascii="Myriad Pro" w:hAnsi="Myriad Pro" w:cs="Arial"/>
        </w:rPr>
      </w:pPr>
    </w:p>
    <w:p>
      <w:pPr>
        <w:rPr>
          <w:rFonts w:ascii="Myriad Pro" w:hAnsi="Myriad Pro" w:cs="Arial"/>
        </w:rPr>
      </w:pPr>
    </w:p>
    <w:p>
      <w:pPr>
        <w:rPr>
          <w:rFonts w:ascii="Myriad Pro" w:hAnsi="Myriad Pro" w:cs="Arial"/>
        </w:rPr>
      </w:pPr>
    </w:p>
    <w:p>
      <w:pPr>
        <w:rPr>
          <w:rFonts w:ascii="Myriad Pro" w:hAnsi="Myriad Pro" w:cs="Arial"/>
        </w:rPr>
      </w:pPr>
    </w:p>
    <w:p>
      <w:pPr>
        <w:rPr>
          <w:rFonts w:ascii="Myriad Pro" w:hAnsi="Myriad Pro" w:cs="Arial"/>
        </w:rPr>
      </w:pPr>
    </w:p>
    <w:p>
      <w:pPr>
        <w:rPr>
          <w:rFonts w:ascii="Myriad Pro" w:hAnsi="Myriad Pro" w:cs="Arial"/>
        </w:rPr>
      </w:pPr>
    </w:p>
    <w:p>
      <w:pPr>
        <w:rPr>
          <w:rFonts w:ascii="Myriad Pro" w:hAnsi="Myriad Pro" w:cs="Arial"/>
        </w:rPr>
      </w:pPr>
    </w:p>
    <w:p>
      <w:pPr>
        <w:rPr>
          <w:rFonts w:ascii="Myriad Pro" w:hAnsi="Myriad Pro" w:cs="Arial"/>
        </w:rPr>
      </w:pPr>
    </w:p>
    <w:p>
      <w:pPr>
        <w:rPr>
          <w:rFonts w:ascii="Myriad Pro" w:hAnsi="Myriad Pro" w:cs="Arial"/>
        </w:rPr>
      </w:pPr>
    </w:p>
    <w:p>
      <w:pPr>
        <w:rPr>
          <w:rFonts w:ascii="Myriad Pro" w:hAnsi="Myriad Pro" w:cs="Arial"/>
        </w:rPr>
      </w:pPr>
    </w:p>
    <w:p>
      <w:pPr>
        <w:rPr>
          <w:rFonts w:ascii="Myriad Pro" w:hAnsi="Myriad Pro" w:cs="Arial"/>
        </w:rPr>
      </w:pPr>
    </w:p>
    <w:p>
      <w:pPr>
        <w:rPr>
          <w:rFonts w:ascii="Myriad Pro" w:hAnsi="Myriad Pro" w:cs="Arial"/>
        </w:rPr>
      </w:pPr>
    </w:p>
    <w:p>
      <w:pPr>
        <w:rPr>
          <w:rFonts w:ascii="Myriad Pro" w:hAnsi="Myriad Pro" w:cs="Arial"/>
        </w:rPr>
      </w:pPr>
    </w:p>
    <w:p>
      <w:pPr>
        <w:rPr>
          <w:rFonts w:ascii="Myriad Pro" w:hAnsi="Myriad Pro" w:cs="Arial"/>
        </w:rPr>
      </w:pPr>
    </w:p>
    <w:p>
      <w:pPr>
        <w:rPr>
          <w:rFonts w:ascii="Myriad Pro" w:hAnsi="Myriad Pro" w:cs="Arial"/>
        </w:rPr>
      </w:pPr>
    </w:p>
    <w:p>
      <w:pPr>
        <w:rPr>
          <w:rFonts w:ascii="Myriad Pro" w:hAnsi="Myriad Pro" w:cs="Arial"/>
        </w:rPr>
      </w:pPr>
    </w:p>
    <w:p>
      <w:pPr>
        <w:rPr>
          <w:rFonts w:ascii="Myriad Pro" w:hAnsi="Myriad Pro" w:cs="Arial"/>
        </w:rPr>
      </w:pPr>
    </w:p>
    <w:p>
      <w:pPr>
        <w:rPr>
          <w:rFonts w:ascii="Myriad Pro" w:hAnsi="Myriad Pro" w:cs="Arial"/>
        </w:rPr>
      </w:pPr>
    </w:p>
    <w:p>
      <w:pPr>
        <w:rPr>
          <w:rFonts w:ascii="Myriad Pro" w:hAnsi="Myriad Pro" w:cs="Arial"/>
        </w:rPr>
      </w:pPr>
    </w:p>
    <w:p>
      <w:pPr>
        <w:rPr>
          <w:rFonts w:ascii="Myriad Pro" w:hAnsi="Myriad Pro" w:cs="Arial"/>
        </w:rPr>
      </w:pPr>
    </w:p>
    <w:p>
      <w:pPr>
        <w:rPr>
          <w:rFonts w:ascii="Myriad Pro" w:hAnsi="Myriad Pro" w:cs="Arial"/>
        </w:rPr>
      </w:pPr>
    </w:p>
    <w:p>
      <w:pPr>
        <w:rPr>
          <w:rFonts w:ascii="Myriad Pro" w:hAnsi="Myriad Pro" w:cs="Arial"/>
          <w:b/>
          <w:u w:val="single"/>
        </w:rPr>
      </w:pPr>
      <w:r>
        <w:rPr>
          <w:rFonts w:ascii="Myriad Pro" w:hAnsi="Myriad Pro" w:cs="Arial"/>
          <w:b/>
          <w:u w:val="single"/>
        </w:rPr>
        <w:lastRenderedPageBreak/>
        <w:t>Appendix 1</w:t>
      </w:r>
    </w:p>
    <w:p>
      <w:pPr>
        <w:rPr>
          <w:rFonts w:ascii="Myriad Pro" w:hAnsi="Myriad Pro" w:cs="Arial"/>
        </w:rPr>
      </w:pPr>
      <w:proofErr w:type="spellStart"/>
      <w:r>
        <w:rPr>
          <w:rFonts w:ascii="Myriad Pro" w:hAnsi="Myriad Pro" w:cs="Arial"/>
        </w:rPr>
        <w:t>Keresley</w:t>
      </w:r>
      <w:proofErr w:type="spellEnd"/>
      <w:r>
        <w:rPr>
          <w:rFonts w:ascii="Myriad Pro" w:hAnsi="Myriad Pro" w:cs="Arial"/>
        </w:rPr>
        <w:t xml:space="preserve"> Grange catchment area</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Appleby Close</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Ash Green Lane</w:t>
      </w:r>
    </w:p>
    <w:p>
      <w:pPr>
        <w:numPr>
          <w:ilvl w:val="0"/>
          <w:numId w:val="6"/>
        </w:numPr>
        <w:spacing w:before="100" w:beforeAutospacing="1" w:after="100" w:afterAutospacing="1" w:line="240" w:lineRule="auto"/>
        <w:rPr>
          <w:rFonts w:ascii="Myriad Pro" w:eastAsia="Times New Roman" w:hAnsi="Myriad Pro" w:cs="Arial"/>
          <w:color w:val="2D3547"/>
          <w:lang w:eastAsia="en-GB"/>
        </w:rPr>
      </w:pPr>
      <w:proofErr w:type="spellStart"/>
      <w:r>
        <w:rPr>
          <w:rFonts w:ascii="Myriad Pro" w:eastAsia="Times New Roman" w:hAnsi="Myriad Pro" w:cs="Arial"/>
          <w:color w:val="2D3547"/>
          <w:lang w:eastAsia="en-GB"/>
        </w:rPr>
        <w:t>Bablake</w:t>
      </w:r>
      <w:proofErr w:type="spellEnd"/>
      <w:r>
        <w:rPr>
          <w:rFonts w:ascii="Myriad Pro" w:eastAsia="Times New Roman" w:hAnsi="Myriad Pro" w:cs="Arial"/>
          <w:color w:val="2D3547"/>
          <w:lang w:eastAsia="en-GB"/>
        </w:rPr>
        <w:t xml:space="preserve"> Close</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Bastille Gate</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Battalion Court</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Bennetts Road</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Bennetts Road North (to Boundary)</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Bennetts Road South (all Odd and 2 - 202 even)</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Bexhill Walk</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Blackberry Lane</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Blacksmiths Drive</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Blenkinsopp Avenue</w:t>
      </w:r>
    </w:p>
    <w:p>
      <w:pPr>
        <w:numPr>
          <w:ilvl w:val="0"/>
          <w:numId w:val="6"/>
        </w:numPr>
        <w:spacing w:before="100" w:beforeAutospacing="1" w:after="100" w:afterAutospacing="1" w:line="240" w:lineRule="auto"/>
        <w:rPr>
          <w:rFonts w:ascii="Myriad Pro" w:eastAsia="Times New Roman" w:hAnsi="Myriad Pro" w:cs="Arial"/>
          <w:color w:val="2D3547"/>
          <w:lang w:eastAsia="en-GB"/>
        </w:rPr>
      </w:pPr>
      <w:proofErr w:type="spellStart"/>
      <w:r>
        <w:rPr>
          <w:rFonts w:ascii="Myriad Pro" w:eastAsia="Times New Roman" w:hAnsi="Myriad Pro" w:cs="Arial"/>
          <w:color w:val="2D3547"/>
          <w:lang w:eastAsia="en-GB"/>
        </w:rPr>
        <w:t>Brackenhurst</w:t>
      </w:r>
      <w:proofErr w:type="spellEnd"/>
      <w:r>
        <w:rPr>
          <w:rFonts w:ascii="Myriad Pro" w:eastAsia="Times New Roman" w:hAnsi="Myriad Pro" w:cs="Arial"/>
          <w:color w:val="2D3547"/>
          <w:lang w:eastAsia="en-GB"/>
        </w:rPr>
        <w:t xml:space="preserve"> Road</w:t>
      </w:r>
    </w:p>
    <w:p>
      <w:pPr>
        <w:numPr>
          <w:ilvl w:val="0"/>
          <w:numId w:val="6"/>
        </w:numPr>
        <w:spacing w:before="100" w:beforeAutospacing="1" w:after="100" w:afterAutospacing="1" w:line="240" w:lineRule="auto"/>
        <w:rPr>
          <w:rFonts w:ascii="Myriad Pro" w:eastAsia="Times New Roman" w:hAnsi="Myriad Pro" w:cs="Arial"/>
          <w:color w:val="2D3547"/>
          <w:lang w:eastAsia="en-GB"/>
        </w:rPr>
      </w:pPr>
      <w:proofErr w:type="spellStart"/>
      <w:r>
        <w:rPr>
          <w:rFonts w:ascii="Myriad Pro" w:eastAsia="Times New Roman" w:hAnsi="Myriad Pro" w:cs="Arial"/>
          <w:color w:val="2D3547"/>
          <w:lang w:eastAsia="en-GB"/>
        </w:rPr>
        <w:t>Branfield</w:t>
      </w:r>
      <w:proofErr w:type="spellEnd"/>
      <w:r>
        <w:rPr>
          <w:rFonts w:ascii="Myriad Pro" w:eastAsia="Times New Roman" w:hAnsi="Myriad Pro" w:cs="Arial"/>
          <w:color w:val="2D3547"/>
          <w:lang w:eastAsia="en-GB"/>
        </w:rPr>
        <w:t xml:space="preserve"> Road</w:t>
      </w:r>
    </w:p>
    <w:p>
      <w:pPr>
        <w:numPr>
          <w:ilvl w:val="0"/>
          <w:numId w:val="6"/>
        </w:numPr>
        <w:spacing w:before="100" w:beforeAutospacing="1" w:after="100" w:afterAutospacing="1" w:line="240" w:lineRule="auto"/>
        <w:rPr>
          <w:rFonts w:ascii="Myriad Pro" w:eastAsia="Times New Roman" w:hAnsi="Myriad Pro" w:cs="Arial"/>
          <w:color w:val="2D3547"/>
          <w:lang w:eastAsia="en-GB"/>
        </w:rPr>
      </w:pPr>
      <w:proofErr w:type="spellStart"/>
      <w:r>
        <w:rPr>
          <w:rFonts w:ascii="Myriad Pro" w:eastAsia="Times New Roman" w:hAnsi="Myriad Pro" w:cs="Arial"/>
          <w:color w:val="2D3547"/>
          <w:lang w:eastAsia="en-GB"/>
        </w:rPr>
        <w:t>Brownshill</w:t>
      </w:r>
      <w:proofErr w:type="spellEnd"/>
      <w:r>
        <w:rPr>
          <w:rFonts w:ascii="Myriad Pro" w:eastAsia="Times New Roman" w:hAnsi="Myriad Pro" w:cs="Arial"/>
          <w:color w:val="2D3547"/>
          <w:lang w:eastAsia="en-GB"/>
        </w:rPr>
        <w:t xml:space="preserve"> Green Road including </w:t>
      </w:r>
      <w:proofErr w:type="spellStart"/>
      <w:r>
        <w:rPr>
          <w:rFonts w:ascii="Myriad Pro" w:eastAsia="Times New Roman" w:hAnsi="Myriad Pro" w:cs="Arial"/>
          <w:color w:val="2D3547"/>
          <w:lang w:eastAsia="en-GB"/>
        </w:rPr>
        <w:t>Brownshill</w:t>
      </w:r>
      <w:proofErr w:type="spellEnd"/>
      <w:r>
        <w:rPr>
          <w:rFonts w:ascii="Myriad Pro" w:eastAsia="Times New Roman" w:hAnsi="Myriad Pro" w:cs="Arial"/>
          <w:color w:val="2D3547"/>
          <w:lang w:eastAsia="en-GB"/>
        </w:rPr>
        <w:t xml:space="preserve"> Court</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Burrow Hill Lane South including Lower Rock Farm</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Burrows Walk</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Butterfield Drive</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Church Park Close</w:t>
      </w:r>
    </w:p>
    <w:p>
      <w:pPr>
        <w:numPr>
          <w:ilvl w:val="0"/>
          <w:numId w:val="6"/>
        </w:numPr>
        <w:spacing w:before="100" w:beforeAutospacing="1" w:after="100" w:afterAutospacing="1" w:line="240" w:lineRule="auto"/>
        <w:rPr>
          <w:rFonts w:ascii="Myriad Pro" w:eastAsia="Times New Roman" w:hAnsi="Myriad Pro" w:cs="Arial"/>
          <w:color w:val="2D3547"/>
          <w:lang w:eastAsia="en-GB"/>
        </w:rPr>
      </w:pPr>
      <w:proofErr w:type="spellStart"/>
      <w:r>
        <w:rPr>
          <w:rFonts w:ascii="Myriad Pro" w:eastAsia="Times New Roman" w:hAnsi="Myriad Pro" w:cs="Arial"/>
          <w:color w:val="2D3547"/>
          <w:lang w:eastAsia="en-GB"/>
        </w:rPr>
        <w:t>Cofa</w:t>
      </w:r>
      <w:proofErr w:type="spellEnd"/>
      <w:r>
        <w:rPr>
          <w:rFonts w:ascii="Myriad Pro" w:eastAsia="Times New Roman" w:hAnsi="Myriad Pro" w:cs="Arial"/>
          <w:color w:val="2D3547"/>
          <w:lang w:eastAsia="en-GB"/>
        </w:rPr>
        <w:t xml:space="preserve"> Road</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Coopers Meadow (59 - 92)</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Copthorne Road including Copthorne Lodge</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Cottage Farm Road including Cottage Farm Lodge and Halford Lodge</w:t>
      </w:r>
    </w:p>
    <w:p>
      <w:pPr>
        <w:numPr>
          <w:ilvl w:val="0"/>
          <w:numId w:val="6"/>
        </w:numPr>
        <w:spacing w:before="100" w:beforeAutospacing="1" w:after="100" w:afterAutospacing="1" w:line="240" w:lineRule="auto"/>
        <w:rPr>
          <w:rFonts w:ascii="Myriad Pro" w:eastAsia="Times New Roman" w:hAnsi="Myriad Pro" w:cs="Arial"/>
          <w:color w:val="2D3547"/>
          <w:lang w:eastAsia="en-GB"/>
        </w:rPr>
      </w:pPr>
      <w:proofErr w:type="spellStart"/>
      <w:r>
        <w:rPr>
          <w:rFonts w:ascii="Myriad Pro" w:eastAsia="Times New Roman" w:hAnsi="Myriad Pro" w:cs="Arial"/>
          <w:color w:val="2D3547"/>
          <w:lang w:eastAsia="en-GB"/>
        </w:rPr>
        <w:t>Dosco</w:t>
      </w:r>
      <w:proofErr w:type="spellEnd"/>
      <w:r>
        <w:rPr>
          <w:rFonts w:ascii="Myriad Pro" w:eastAsia="Times New Roman" w:hAnsi="Myriad Pro" w:cs="Arial"/>
          <w:color w:val="2D3547"/>
          <w:lang w:eastAsia="en-GB"/>
        </w:rPr>
        <w:t xml:space="preserve"> Road</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Durham Close</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Earls Wood Drive</w:t>
      </w:r>
    </w:p>
    <w:p>
      <w:pPr>
        <w:numPr>
          <w:ilvl w:val="0"/>
          <w:numId w:val="6"/>
        </w:numPr>
        <w:spacing w:before="100" w:beforeAutospacing="1" w:after="100" w:afterAutospacing="1" w:line="240" w:lineRule="auto"/>
        <w:rPr>
          <w:rFonts w:ascii="Myriad Pro" w:eastAsia="Times New Roman" w:hAnsi="Myriad Pro" w:cs="Arial"/>
          <w:color w:val="2D3547"/>
          <w:lang w:eastAsia="en-GB"/>
        </w:rPr>
      </w:pPr>
      <w:proofErr w:type="spellStart"/>
      <w:r>
        <w:rPr>
          <w:rFonts w:ascii="Myriad Pro" w:eastAsia="Times New Roman" w:hAnsi="Myriad Pro" w:cs="Arial"/>
          <w:color w:val="2D3547"/>
          <w:lang w:eastAsia="en-GB"/>
        </w:rPr>
        <w:t>Eastcroft</w:t>
      </w:r>
      <w:proofErr w:type="spellEnd"/>
    </w:p>
    <w:p>
      <w:pPr>
        <w:numPr>
          <w:ilvl w:val="0"/>
          <w:numId w:val="6"/>
        </w:numPr>
        <w:spacing w:before="100" w:beforeAutospacing="1" w:after="100" w:afterAutospacing="1" w:line="240" w:lineRule="auto"/>
        <w:rPr>
          <w:rFonts w:ascii="Myriad Pro" w:eastAsia="Times New Roman" w:hAnsi="Myriad Pro" w:cs="Arial"/>
          <w:color w:val="2D3547"/>
          <w:lang w:eastAsia="en-GB"/>
        </w:rPr>
      </w:pPr>
      <w:proofErr w:type="spellStart"/>
      <w:r>
        <w:rPr>
          <w:rFonts w:ascii="Myriad Pro" w:eastAsia="Times New Roman" w:hAnsi="Myriad Pro" w:cs="Arial"/>
          <w:color w:val="2D3547"/>
          <w:lang w:eastAsia="en-GB"/>
        </w:rPr>
        <w:t>Exhall</w:t>
      </w:r>
      <w:proofErr w:type="spellEnd"/>
      <w:r>
        <w:rPr>
          <w:rFonts w:ascii="Myriad Pro" w:eastAsia="Times New Roman" w:hAnsi="Myriad Pro" w:cs="Arial"/>
          <w:color w:val="2D3547"/>
          <w:lang w:eastAsia="en-GB"/>
        </w:rPr>
        <w:t xml:space="preserve"> Road</w:t>
      </w:r>
    </w:p>
    <w:p>
      <w:pPr>
        <w:numPr>
          <w:ilvl w:val="0"/>
          <w:numId w:val="6"/>
        </w:numPr>
        <w:spacing w:before="100" w:beforeAutospacing="1" w:after="100" w:afterAutospacing="1" w:line="240" w:lineRule="auto"/>
        <w:rPr>
          <w:rFonts w:ascii="Myriad Pro" w:eastAsia="Times New Roman" w:hAnsi="Myriad Pro" w:cs="Arial"/>
          <w:color w:val="2D3547"/>
          <w:lang w:eastAsia="en-GB"/>
        </w:rPr>
      </w:pPr>
      <w:proofErr w:type="spellStart"/>
      <w:r>
        <w:rPr>
          <w:rFonts w:ascii="Myriad Pro" w:eastAsia="Times New Roman" w:hAnsi="Myriad Pro" w:cs="Arial"/>
          <w:color w:val="2D3547"/>
          <w:lang w:eastAsia="en-GB"/>
        </w:rPr>
        <w:t>Fairbourne</w:t>
      </w:r>
      <w:proofErr w:type="spellEnd"/>
      <w:r>
        <w:rPr>
          <w:rFonts w:ascii="Myriad Pro" w:eastAsia="Times New Roman" w:hAnsi="Myriad Pro" w:cs="Arial"/>
          <w:color w:val="2D3547"/>
          <w:lang w:eastAsia="en-GB"/>
        </w:rPr>
        <w:t xml:space="preserve"> Way</w:t>
      </w:r>
    </w:p>
    <w:p>
      <w:pPr>
        <w:numPr>
          <w:ilvl w:val="0"/>
          <w:numId w:val="6"/>
        </w:numPr>
        <w:spacing w:before="100" w:beforeAutospacing="1" w:after="100" w:afterAutospacing="1" w:line="240" w:lineRule="auto"/>
        <w:rPr>
          <w:rFonts w:ascii="Myriad Pro" w:eastAsia="Times New Roman" w:hAnsi="Myriad Pro" w:cs="Arial"/>
          <w:color w:val="2D3547"/>
          <w:lang w:eastAsia="en-GB"/>
        </w:rPr>
      </w:pPr>
      <w:proofErr w:type="spellStart"/>
      <w:r>
        <w:rPr>
          <w:rFonts w:ascii="Myriad Pro" w:eastAsia="Times New Roman" w:hAnsi="Myriad Pro" w:cs="Arial"/>
          <w:color w:val="2D3547"/>
          <w:lang w:eastAsia="en-GB"/>
        </w:rPr>
        <w:t>Fairlight</w:t>
      </w:r>
      <w:proofErr w:type="spellEnd"/>
      <w:r>
        <w:rPr>
          <w:rFonts w:ascii="Myriad Pro" w:eastAsia="Times New Roman" w:hAnsi="Myriad Pro" w:cs="Arial"/>
          <w:color w:val="2D3547"/>
          <w:lang w:eastAsia="en-GB"/>
        </w:rPr>
        <w:t xml:space="preserve"> Road</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Feltham Lane</w:t>
      </w:r>
    </w:p>
    <w:p>
      <w:pPr>
        <w:numPr>
          <w:ilvl w:val="0"/>
          <w:numId w:val="6"/>
        </w:numPr>
        <w:spacing w:before="100" w:beforeAutospacing="1" w:after="100" w:afterAutospacing="1" w:line="240" w:lineRule="auto"/>
        <w:rPr>
          <w:rFonts w:ascii="Myriad Pro" w:eastAsia="Times New Roman" w:hAnsi="Myriad Pro" w:cs="Arial"/>
          <w:color w:val="2D3547"/>
          <w:lang w:eastAsia="en-GB"/>
        </w:rPr>
      </w:pPr>
      <w:proofErr w:type="spellStart"/>
      <w:r>
        <w:rPr>
          <w:rFonts w:ascii="Myriad Pro" w:eastAsia="Times New Roman" w:hAnsi="Myriad Pro" w:cs="Arial"/>
          <w:color w:val="2D3547"/>
          <w:lang w:eastAsia="en-GB"/>
        </w:rPr>
        <w:t>Fivefield</w:t>
      </w:r>
      <w:proofErr w:type="spellEnd"/>
      <w:r>
        <w:rPr>
          <w:rFonts w:ascii="Myriad Pro" w:eastAsia="Times New Roman" w:hAnsi="Myriad Pro" w:cs="Arial"/>
          <w:color w:val="2D3547"/>
          <w:lang w:eastAsia="en-GB"/>
        </w:rPr>
        <w:t xml:space="preserve"> Road</w:t>
      </w:r>
    </w:p>
    <w:p>
      <w:pPr>
        <w:numPr>
          <w:ilvl w:val="0"/>
          <w:numId w:val="6"/>
        </w:numPr>
        <w:spacing w:before="100" w:beforeAutospacing="1" w:after="100" w:afterAutospacing="1" w:line="240" w:lineRule="auto"/>
        <w:rPr>
          <w:rFonts w:ascii="Myriad Pro" w:eastAsia="Times New Roman" w:hAnsi="Myriad Pro" w:cs="Arial"/>
          <w:color w:val="2D3547"/>
          <w:lang w:eastAsia="en-GB"/>
        </w:rPr>
      </w:pPr>
      <w:proofErr w:type="spellStart"/>
      <w:r>
        <w:rPr>
          <w:rFonts w:ascii="Myriad Pro" w:eastAsia="Times New Roman" w:hAnsi="Myriad Pro" w:cs="Arial"/>
          <w:color w:val="2D3547"/>
          <w:lang w:eastAsia="en-GB"/>
        </w:rPr>
        <w:t>Flude</w:t>
      </w:r>
      <w:proofErr w:type="spellEnd"/>
      <w:r>
        <w:rPr>
          <w:rFonts w:ascii="Myriad Pro" w:eastAsia="Times New Roman" w:hAnsi="Myriad Pro" w:cs="Arial"/>
          <w:color w:val="2D3547"/>
          <w:lang w:eastAsia="en-GB"/>
        </w:rPr>
        <w:t xml:space="preserve"> Road</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Golby Walk</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Goldsmiths Close</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Greens Road including Battalion Court and Regiment Court</w:t>
      </w:r>
    </w:p>
    <w:p>
      <w:pPr>
        <w:numPr>
          <w:ilvl w:val="0"/>
          <w:numId w:val="6"/>
        </w:numPr>
        <w:spacing w:before="100" w:beforeAutospacing="1" w:after="100" w:afterAutospacing="1" w:line="240" w:lineRule="auto"/>
        <w:rPr>
          <w:rFonts w:ascii="Myriad Pro" w:eastAsia="Times New Roman" w:hAnsi="Myriad Pro" w:cs="Arial"/>
          <w:color w:val="2D3547"/>
          <w:lang w:eastAsia="en-GB"/>
        </w:rPr>
      </w:pPr>
      <w:proofErr w:type="spellStart"/>
      <w:r>
        <w:rPr>
          <w:rFonts w:ascii="Myriad Pro" w:eastAsia="Times New Roman" w:hAnsi="Myriad Pro" w:cs="Arial"/>
          <w:color w:val="2D3547"/>
          <w:lang w:eastAsia="en-GB"/>
        </w:rPr>
        <w:t>Gutteridge</w:t>
      </w:r>
      <w:proofErr w:type="spellEnd"/>
      <w:r>
        <w:rPr>
          <w:rFonts w:ascii="Myriad Pro" w:eastAsia="Times New Roman" w:hAnsi="Myriad Pro" w:cs="Arial"/>
          <w:color w:val="2D3547"/>
          <w:lang w:eastAsia="en-GB"/>
        </w:rPr>
        <w:t xml:space="preserve"> Avenue</w:t>
      </w:r>
    </w:p>
    <w:p>
      <w:pPr>
        <w:numPr>
          <w:ilvl w:val="0"/>
          <w:numId w:val="6"/>
        </w:numPr>
        <w:spacing w:before="100" w:beforeAutospacing="1" w:after="100" w:afterAutospacing="1" w:line="240" w:lineRule="auto"/>
        <w:rPr>
          <w:rFonts w:ascii="Myriad Pro" w:eastAsia="Times New Roman" w:hAnsi="Myriad Pro" w:cs="Arial"/>
          <w:color w:val="2D3547"/>
          <w:lang w:eastAsia="en-GB"/>
        </w:rPr>
      </w:pPr>
      <w:proofErr w:type="spellStart"/>
      <w:r>
        <w:rPr>
          <w:rFonts w:ascii="Myriad Pro" w:eastAsia="Times New Roman" w:hAnsi="Myriad Pro" w:cs="Arial"/>
          <w:color w:val="2D3547"/>
          <w:lang w:eastAsia="en-GB"/>
        </w:rPr>
        <w:t>Harroway</w:t>
      </w:r>
      <w:proofErr w:type="spellEnd"/>
      <w:r>
        <w:rPr>
          <w:rFonts w:ascii="Myriad Pro" w:eastAsia="Times New Roman" w:hAnsi="Myriad Pro" w:cs="Arial"/>
          <w:color w:val="2D3547"/>
          <w:lang w:eastAsia="en-GB"/>
        </w:rPr>
        <w:t xml:space="preserve"> Close</w:t>
      </w:r>
    </w:p>
    <w:p>
      <w:pPr>
        <w:numPr>
          <w:ilvl w:val="0"/>
          <w:numId w:val="6"/>
        </w:numPr>
        <w:spacing w:before="100" w:beforeAutospacing="1" w:after="100" w:afterAutospacing="1" w:line="240" w:lineRule="auto"/>
        <w:rPr>
          <w:rFonts w:ascii="Myriad Pro" w:eastAsia="Times New Roman" w:hAnsi="Myriad Pro" w:cs="Arial"/>
          <w:color w:val="2D3547"/>
          <w:lang w:eastAsia="en-GB"/>
        </w:rPr>
      </w:pPr>
      <w:proofErr w:type="spellStart"/>
      <w:r>
        <w:rPr>
          <w:rFonts w:ascii="Myriad Pro" w:eastAsia="Times New Roman" w:hAnsi="Myriad Pro" w:cs="Arial"/>
          <w:color w:val="2D3547"/>
          <w:lang w:eastAsia="en-GB"/>
        </w:rPr>
        <w:t>Hawkesmill</w:t>
      </w:r>
      <w:proofErr w:type="spellEnd"/>
      <w:r>
        <w:rPr>
          <w:rFonts w:ascii="Myriad Pro" w:eastAsia="Times New Roman" w:hAnsi="Myriad Pro" w:cs="Arial"/>
          <w:color w:val="2D3547"/>
          <w:lang w:eastAsia="en-GB"/>
        </w:rPr>
        <w:t xml:space="preserve"> Lane (86 - 156 even and 37 - 165 odd)</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Henry Baxter Drive</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 xml:space="preserve">Henry </w:t>
      </w:r>
      <w:proofErr w:type="spellStart"/>
      <w:r>
        <w:rPr>
          <w:rFonts w:ascii="Myriad Pro" w:eastAsia="Times New Roman" w:hAnsi="Myriad Pro" w:cs="Arial"/>
          <w:color w:val="2D3547"/>
          <w:lang w:eastAsia="en-GB"/>
        </w:rPr>
        <w:t>Wychard</w:t>
      </w:r>
      <w:proofErr w:type="spellEnd"/>
      <w:r>
        <w:rPr>
          <w:rFonts w:ascii="Myriad Pro" w:eastAsia="Times New Roman" w:hAnsi="Myriad Pro" w:cs="Arial"/>
          <w:color w:val="2D3547"/>
          <w:lang w:eastAsia="en-GB"/>
        </w:rPr>
        <w:t xml:space="preserve"> Drive</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Herders Way (1, 2 and 4 only)</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High Street</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Hills Wood Avenue</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John Alcock Close</w:t>
      </w:r>
    </w:p>
    <w:p>
      <w:pPr>
        <w:numPr>
          <w:ilvl w:val="0"/>
          <w:numId w:val="6"/>
        </w:numPr>
        <w:spacing w:before="100" w:beforeAutospacing="1" w:after="100" w:afterAutospacing="1" w:line="240" w:lineRule="auto"/>
        <w:rPr>
          <w:rFonts w:ascii="Myriad Pro" w:eastAsia="Times New Roman" w:hAnsi="Myriad Pro" w:cs="Arial"/>
          <w:color w:val="2D3547"/>
          <w:lang w:eastAsia="en-GB"/>
        </w:rPr>
      </w:pPr>
      <w:proofErr w:type="spellStart"/>
      <w:r>
        <w:rPr>
          <w:rFonts w:ascii="Myriad Pro" w:eastAsia="Times New Roman" w:hAnsi="Myriad Pro" w:cs="Arial"/>
          <w:color w:val="2D3547"/>
          <w:lang w:eastAsia="en-GB"/>
        </w:rPr>
        <w:t>Kelmscote</w:t>
      </w:r>
      <w:proofErr w:type="spellEnd"/>
      <w:r>
        <w:rPr>
          <w:rFonts w:ascii="Myriad Pro" w:eastAsia="Times New Roman" w:hAnsi="Myriad Pro" w:cs="Arial"/>
          <w:color w:val="2D3547"/>
          <w:lang w:eastAsia="en-GB"/>
        </w:rPr>
        <w:t xml:space="preserve"> Road</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lastRenderedPageBreak/>
        <w:t>Kemble Close</w:t>
      </w:r>
    </w:p>
    <w:p>
      <w:pPr>
        <w:numPr>
          <w:ilvl w:val="0"/>
          <w:numId w:val="6"/>
        </w:numPr>
        <w:spacing w:before="100" w:beforeAutospacing="1" w:after="100" w:afterAutospacing="1" w:line="240" w:lineRule="auto"/>
        <w:rPr>
          <w:rFonts w:ascii="Myriad Pro" w:eastAsia="Times New Roman" w:hAnsi="Myriad Pro" w:cs="Arial"/>
          <w:color w:val="2D3547"/>
          <w:lang w:eastAsia="en-GB"/>
        </w:rPr>
      </w:pPr>
      <w:proofErr w:type="spellStart"/>
      <w:r>
        <w:rPr>
          <w:rFonts w:ascii="Myriad Pro" w:eastAsia="Times New Roman" w:hAnsi="Myriad Pro" w:cs="Arial"/>
          <w:color w:val="2D3547"/>
          <w:lang w:eastAsia="en-GB"/>
        </w:rPr>
        <w:t>Keresley</w:t>
      </w:r>
      <w:proofErr w:type="spellEnd"/>
      <w:r>
        <w:rPr>
          <w:rFonts w:ascii="Myriad Pro" w:eastAsia="Times New Roman" w:hAnsi="Myriad Pro" w:cs="Arial"/>
          <w:color w:val="2D3547"/>
          <w:lang w:eastAsia="en-GB"/>
        </w:rPr>
        <w:t xml:space="preserve"> Brook Road</w:t>
      </w:r>
    </w:p>
    <w:p>
      <w:pPr>
        <w:numPr>
          <w:ilvl w:val="0"/>
          <w:numId w:val="6"/>
        </w:numPr>
        <w:spacing w:before="100" w:beforeAutospacing="1" w:after="100" w:afterAutospacing="1" w:line="240" w:lineRule="auto"/>
        <w:rPr>
          <w:rFonts w:ascii="Myriad Pro" w:eastAsia="Times New Roman" w:hAnsi="Myriad Pro" w:cs="Arial"/>
          <w:color w:val="2D3547"/>
          <w:lang w:eastAsia="en-GB"/>
        </w:rPr>
      </w:pPr>
      <w:proofErr w:type="spellStart"/>
      <w:r>
        <w:rPr>
          <w:rFonts w:ascii="Myriad Pro" w:eastAsia="Times New Roman" w:hAnsi="Myriad Pro" w:cs="Arial"/>
          <w:color w:val="2D3547"/>
          <w:lang w:eastAsia="en-GB"/>
        </w:rPr>
        <w:t>Keresley</w:t>
      </w:r>
      <w:proofErr w:type="spellEnd"/>
      <w:r>
        <w:rPr>
          <w:rFonts w:ascii="Myriad Pro" w:eastAsia="Times New Roman" w:hAnsi="Myriad Pro" w:cs="Arial"/>
          <w:color w:val="2D3547"/>
          <w:lang w:eastAsia="en-GB"/>
        </w:rPr>
        <w:t xml:space="preserve"> Close</w:t>
      </w:r>
    </w:p>
    <w:p>
      <w:pPr>
        <w:numPr>
          <w:ilvl w:val="0"/>
          <w:numId w:val="6"/>
        </w:numPr>
        <w:spacing w:before="100" w:beforeAutospacing="1" w:after="100" w:afterAutospacing="1" w:line="240" w:lineRule="auto"/>
        <w:rPr>
          <w:rFonts w:ascii="Myriad Pro" w:eastAsia="Times New Roman" w:hAnsi="Myriad Pro" w:cs="Arial"/>
          <w:color w:val="2D3547"/>
          <w:lang w:eastAsia="en-GB"/>
        </w:rPr>
      </w:pPr>
      <w:proofErr w:type="spellStart"/>
      <w:r>
        <w:rPr>
          <w:rFonts w:ascii="Myriad Pro" w:eastAsia="Times New Roman" w:hAnsi="Myriad Pro" w:cs="Arial"/>
          <w:color w:val="2D3547"/>
          <w:lang w:eastAsia="en-GB"/>
        </w:rPr>
        <w:t>Keresley</w:t>
      </w:r>
      <w:proofErr w:type="spellEnd"/>
      <w:r>
        <w:rPr>
          <w:rFonts w:ascii="Myriad Pro" w:eastAsia="Times New Roman" w:hAnsi="Myriad Pro" w:cs="Arial"/>
          <w:color w:val="2D3547"/>
          <w:lang w:eastAsia="en-GB"/>
        </w:rPr>
        <w:t xml:space="preserve"> Green Road (42 - 50 even)</w:t>
      </w:r>
    </w:p>
    <w:p>
      <w:pPr>
        <w:numPr>
          <w:ilvl w:val="0"/>
          <w:numId w:val="6"/>
        </w:numPr>
        <w:spacing w:before="100" w:beforeAutospacing="1" w:after="100" w:afterAutospacing="1" w:line="240" w:lineRule="auto"/>
        <w:rPr>
          <w:rFonts w:ascii="Myriad Pro" w:eastAsia="Times New Roman" w:hAnsi="Myriad Pro" w:cs="Arial"/>
          <w:color w:val="2D3547"/>
          <w:lang w:eastAsia="en-GB"/>
        </w:rPr>
      </w:pPr>
      <w:proofErr w:type="spellStart"/>
      <w:r>
        <w:rPr>
          <w:rFonts w:ascii="Myriad Pro" w:eastAsia="Times New Roman" w:hAnsi="Myriad Pro" w:cs="Arial"/>
          <w:color w:val="2D3547"/>
          <w:lang w:eastAsia="en-GB"/>
        </w:rPr>
        <w:t>Keresley</w:t>
      </w:r>
      <w:proofErr w:type="spellEnd"/>
      <w:r>
        <w:rPr>
          <w:rFonts w:ascii="Myriad Pro" w:eastAsia="Times New Roman" w:hAnsi="Myriad Pro" w:cs="Arial"/>
          <w:color w:val="2D3547"/>
          <w:lang w:eastAsia="en-GB"/>
        </w:rPr>
        <w:t xml:space="preserve"> Road (89 - 125 odd) including The Wallace Pub</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Kirton Close</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Long Lane</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Lowe Road</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Marley Walk</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Millers Walk</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Neale Leighton Drive</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New Road</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Newson Place</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Norman Place Road (1 - 53 odd and 12 - 58 even)</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Northbrook Road</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Old Bell Walk</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Old Wheel Walk</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Philip Stowell Road</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Redgate Way</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Regiment Court</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Ribbon Weavers Walk</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Robert Atchison Way (2, 4, 6, 7, 8 &amp; 9 only)</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 xml:space="preserve">Roger </w:t>
      </w:r>
      <w:proofErr w:type="spellStart"/>
      <w:r>
        <w:rPr>
          <w:rFonts w:ascii="Myriad Pro" w:eastAsia="Times New Roman" w:hAnsi="Myriad Pro" w:cs="Arial"/>
          <w:color w:val="2D3547"/>
          <w:lang w:eastAsia="en-GB"/>
        </w:rPr>
        <w:t>Blythebrook</w:t>
      </w:r>
      <w:proofErr w:type="spellEnd"/>
      <w:r>
        <w:rPr>
          <w:rFonts w:ascii="Myriad Pro" w:eastAsia="Times New Roman" w:hAnsi="Myriad Pro" w:cs="Arial"/>
          <w:color w:val="2D3547"/>
          <w:lang w:eastAsia="en-GB"/>
        </w:rPr>
        <w:t xml:space="preserve"> Avenue</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Sandpits Lane</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Sandstone Avenue</w:t>
      </w:r>
    </w:p>
    <w:p>
      <w:pPr>
        <w:numPr>
          <w:ilvl w:val="0"/>
          <w:numId w:val="6"/>
        </w:numPr>
        <w:spacing w:before="100" w:beforeAutospacing="1" w:after="100" w:afterAutospacing="1" w:line="240" w:lineRule="auto"/>
        <w:rPr>
          <w:rFonts w:ascii="Myriad Pro" w:eastAsia="Times New Roman" w:hAnsi="Myriad Pro" w:cs="Arial"/>
          <w:color w:val="2D3547"/>
          <w:lang w:eastAsia="en-GB"/>
        </w:rPr>
      </w:pPr>
      <w:proofErr w:type="spellStart"/>
      <w:r>
        <w:rPr>
          <w:rFonts w:ascii="Myriad Pro" w:eastAsia="Times New Roman" w:hAnsi="Myriad Pro" w:cs="Arial"/>
          <w:color w:val="2D3547"/>
          <w:lang w:eastAsia="en-GB"/>
        </w:rPr>
        <w:t>Satchwell</w:t>
      </w:r>
      <w:proofErr w:type="spellEnd"/>
      <w:r>
        <w:rPr>
          <w:rFonts w:ascii="Myriad Pro" w:eastAsia="Times New Roman" w:hAnsi="Myriad Pro" w:cs="Arial"/>
          <w:color w:val="2D3547"/>
          <w:lang w:eastAsia="en-GB"/>
        </w:rPr>
        <w:t xml:space="preserve"> Walk</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Shoemakers Close</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Simons Grove</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Sinclair Close</w:t>
      </w:r>
    </w:p>
    <w:p>
      <w:pPr>
        <w:numPr>
          <w:ilvl w:val="0"/>
          <w:numId w:val="6"/>
        </w:numPr>
        <w:spacing w:before="100" w:beforeAutospacing="1" w:after="100" w:afterAutospacing="1" w:line="240" w:lineRule="auto"/>
        <w:rPr>
          <w:rFonts w:ascii="Myriad Pro" w:eastAsia="Times New Roman" w:hAnsi="Myriad Pro" w:cs="Arial"/>
          <w:color w:val="2D3547"/>
          <w:lang w:eastAsia="en-GB"/>
        </w:rPr>
      </w:pPr>
      <w:proofErr w:type="spellStart"/>
      <w:r>
        <w:rPr>
          <w:rFonts w:ascii="Myriad Pro" w:eastAsia="Times New Roman" w:hAnsi="Myriad Pro" w:cs="Arial"/>
          <w:color w:val="2D3547"/>
          <w:lang w:eastAsia="en-GB"/>
        </w:rPr>
        <w:t>Stennells</w:t>
      </w:r>
      <w:proofErr w:type="spellEnd"/>
      <w:r>
        <w:rPr>
          <w:rFonts w:ascii="Myriad Pro" w:eastAsia="Times New Roman" w:hAnsi="Myriad Pro" w:cs="Arial"/>
          <w:color w:val="2D3547"/>
          <w:lang w:eastAsia="en-GB"/>
        </w:rPr>
        <w:t xml:space="preserve"> Close</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 xml:space="preserve">Stephen </w:t>
      </w:r>
      <w:proofErr w:type="spellStart"/>
      <w:r>
        <w:rPr>
          <w:rFonts w:ascii="Myriad Pro" w:eastAsia="Times New Roman" w:hAnsi="Myriad Pro" w:cs="Arial"/>
          <w:color w:val="2D3547"/>
          <w:lang w:eastAsia="en-GB"/>
        </w:rPr>
        <w:t>Edgson</w:t>
      </w:r>
      <w:proofErr w:type="spellEnd"/>
      <w:r>
        <w:rPr>
          <w:rFonts w:ascii="Myriad Pro" w:eastAsia="Times New Roman" w:hAnsi="Myriad Pro" w:cs="Arial"/>
          <w:color w:val="2D3547"/>
          <w:lang w:eastAsia="en-GB"/>
        </w:rPr>
        <w:t xml:space="preserve"> Close</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Tally Close</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Tamworth Road to City Boundary and Horse &amp; Jockey (including Grove Farm Lane)</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Taunton Way</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The Chase</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Thompsons Road</w:t>
      </w:r>
    </w:p>
    <w:p>
      <w:pPr>
        <w:numPr>
          <w:ilvl w:val="0"/>
          <w:numId w:val="6"/>
        </w:numPr>
        <w:spacing w:before="100" w:beforeAutospacing="1" w:after="100" w:afterAutospacing="1" w:line="240" w:lineRule="auto"/>
        <w:rPr>
          <w:rFonts w:ascii="Myriad Pro" w:eastAsia="Times New Roman" w:hAnsi="Myriad Pro" w:cs="Arial"/>
          <w:color w:val="2D3547"/>
          <w:lang w:eastAsia="en-GB"/>
        </w:rPr>
      </w:pPr>
      <w:proofErr w:type="spellStart"/>
      <w:r>
        <w:rPr>
          <w:rFonts w:ascii="Myriad Pro" w:eastAsia="Times New Roman" w:hAnsi="Myriad Pro" w:cs="Arial"/>
          <w:color w:val="2D3547"/>
          <w:lang w:eastAsia="en-GB"/>
        </w:rPr>
        <w:t>Thurlestone</w:t>
      </w:r>
      <w:proofErr w:type="spellEnd"/>
      <w:r>
        <w:rPr>
          <w:rFonts w:ascii="Myriad Pro" w:eastAsia="Times New Roman" w:hAnsi="Myriad Pro" w:cs="Arial"/>
          <w:color w:val="2D3547"/>
          <w:lang w:eastAsia="en-GB"/>
        </w:rPr>
        <w:t xml:space="preserve"> Road</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Tweed Avenue</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Wall Hill Road (1 - 91 odd and 2 - 124 even)</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Waste Lane</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Wickham Close</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Willetts Road</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William Hillman Court</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Wingfield Way</w:t>
      </w:r>
    </w:p>
    <w:p>
      <w:pPr>
        <w:numPr>
          <w:ilvl w:val="0"/>
          <w:numId w:val="6"/>
        </w:numPr>
        <w:spacing w:before="100" w:beforeAutospacing="1" w:after="100" w:afterAutospacing="1" w:line="240" w:lineRule="auto"/>
        <w:rPr>
          <w:rFonts w:ascii="Myriad Pro" w:eastAsia="Times New Roman" w:hAnsi="Myriad Pro" w:cs="Arial"/>
          <w:color w:val="2D3547"/>
          <w:lang w:eastAsia="en-GB"/>
        </w:rPr>
      </w:pPr>
      <w:r>
        <w:rPr>
          <w:rFonts w:ascii="Myriad Pro" w:eastAsia="Times New Roman" w:hAnsi="Myriad Pro" w:cs="Arial"/>
          <w:color w:val="2D3547"/>
          <w:lang w:eastAsia="en-GB"/>
        </w:rPr>
        <w:t>Worthington Avenue</w:t>
      </w:r>
    </w:p>
    <w:p>
      <w:pPr>
        <w:numPr>
          <w:ilvl w:val="0"/>
          <w:numId w:val="6"/>
        </w:numPr>
        <w:spacing w:before="100" w:beforeAutospacing="1" w:after="100" w:afterAutospacing="1" w:line="240" w:lineRule="auto"/>
        <w:rPr>
          <w:rFonts w:ascii="Myriad Pro" w:eastAsia="Times New Roman" w:hAnsi="Myriad Pro" w:cs="Arial"/>
          <w:color w:val="2D3547"/>
          <w:lang w:eastAsia="en-GB"/>
        </w:rPr>
      </w:pPr>
      <w:proofErr w:type="spellStart"/>
      <w:r>
        <w:rPr>
          <w:rFonts w:ascii="Myriad Pro" w:eastAsia="Times New Roman" w:hAnsi="Myriad Pro" w:cs="Arial"/>
          <w:color w:val="2D3547"/>
          <w:lang w:eastAsia="en-GB"/>
        </w:rPr>
        <w:t>Yarnmakers</w:t>
      </w:r>
      <w:proofErr w:type="spellEnd"/>
      <w:r>
        <w:rPr>
          <w:rFonts w:ascii="Myriad Pro" w:eastAsia="Times New Roman" w:hAnsi="Myriad Pro" w:cs="Arial"/>
          <w:color w:val="2D3547"/>
          <w:lang w:eastAsia="en-GB"/>
        </w:rPr>
        <w:t xml:space="preserve"> Path (14, 15, 16, 17, 18 and 19 only)</w:t>
      </w:r>
    </w:p>
    <w:p>
      <w:pPr>
        <w:rPr>
          <w:rFonts w:ascii="Myriad Pro" w:hAnsi="Myriad Pro" w:cs="Arial"/>
          <w:sz w:val="20"/>
        </w:rPr>
      </w:pPr>
    </w:p>
    <w:p>
      <w:pPr>
        <w:rPr>
          <w:rFonts w:ascii="Myriad Pro" w:hAnsi="Myriad Pro" w:cs="Arial"/>
        </w:rPr>
      </w:pPr>
    </w:p>
    <w:sectPr>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yriad Pro">
    <w:panose1 w:val="020B0503030403020204"/>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AFF" w:usb1="C0007843" w:usb2="00000009" w:usb3="00000000" w:csb0="000001FF" w:csb1="00000000"/>
  </w:font>
  <w:font w:name="CIDFont+F1">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1341779"/>
      <w:docPartObj>
        <w:docPartGallery w:val="Page Numbers (Bottom of Page)"/>
        <w:docPartUnique/>
      </w:docPartObj>
    </w:sdtPr>
    <w:sdtEndPr>
      <w:rPr>
        <w:noProof/>
      </w:rPr>
    </w:sdtEndPr>
    <w:sdtContent>
      <w:p>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r>
      <w:rPr>
        <w:rFonts w:ascii="Arial" w:hAnsi="Arial" w:cs="Arial"/>
        <w:sz w:val="20"/>
        <w:szCs w:val="20"/>
      </w:rPr>
      <w:t xml:space="preserve">                       </w:t>
    </w:r>
    <w:r>
      <w:rPr>
        <w:noProof/>
        <w:lang w:eastAsia="en-GB"/>
      </w:rPr>
      <w:drawing>
        <wp:anchor distT="0" distB="0" distL="114300" distR="114300" simplePos="0" relativeHeight="251656704" behindDoc="1" locked="0" layoutInCell="1" allowOverlap="1">
          <wp:simplePos x="0" y="0"/>
          <wp:positionH relativeFrom="leftMargin">
            <wp:posOffset>400050</wp:posOffset>
          </wp:positionH>
          <wp:positionV relativeFrom="paragraph">
            <wp:posOffset>-290830</wp:posOffset>
          </wp:positionV>
          <wp:extent cx="628650" cy="761365"/>
          <wp:effectExtent l="0" t="0" r="0" b="0"/>
          <wp:wrapTight wrapText="bothSides">
            <wp:wrapPolygon edited="0">
              <wp:start x="9164" y="540"/>
              <wp:lineTo x="3927" y="3783"/>
              <wp:lineTo x="2618" y="9728"/>
              <wp:lineTo x="1309" y="20537"/>
              <wp:lineTo x="18327" y="20537"/>
              <wp:lineTo x="18982" y="19456"/>
              <wp:lineTo x="18327" y="12430"/>
              <wp:lineTo x="16364" y="10269"/>
              <wp:lineTo x="18982" y="9188"/>
              <wp:lineTo x="17018" y="3243"/>
              <wp:lineTo x="12436" y="540"/>
              <wp:lineTo x="9164" y="54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G_PA_logo_purple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28650" cy="76136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7728" behindDoc="1" locked="0" layoutInCell="1" allowOverlap="1">
          <wp:simplePos x="0" y="0"/>
          <wp:positionH relativeFrom="margin">
            <wp:align>center</wp:align>
          </wp:positionH>
          <wp:positionV relativeFrom="paragraph">
            <wp:posOffset>-319496</wp:posOffset>
          </wp:positionV>
          <wp:extent cx="464154" cy="313533"/>
          <wp:effectExtent l="0" t="0" r="0" b="0"/>
          <wp:wrapTight wrapText="bothSides">
            <wp:wrapPolygon edited="0">
              <wp:start x="0" y="0"/>
              <wp:lineTo x="0" y="19716"/>
              <wp:lineTo x="20416" y="19716"/>
              <wp:lineTo x="2041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Keresley_L_logo_RGB.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464154" cy="313533"/>
                  </a:xfrm>
                  <a:prstGeom prst="rect">
                    <a:avLst/>
                  </a:prstGeom>
                </pic:spPr>
              </pic:pic>
            </a:graphicData>
          </a:graphic>
          <wp14:sizeRelH relativeFrom="page">
            <wp14:pctWidth>0</wp14:pctWidth>
          </wp14:sizeRelH>
          <wp14:sizeRelV relativeFrom="page">
            <wp14:pctHeight>0</wp14:pctHeight>
          </wp14:sizeRelV>
        </wp:anchor>
      </w:drawing>
    </w:r>
  </w:p>
  <w:p>
    <w:pPr>
      <w:pStyle w:val="Header"/>
      <w:rPr>
        <w:rFonts w:ascii="Arial" w:hAnsi="Arial" w:cs="Arial"/>
        <w:sz w:val="20"/>
        <w:szCs w:val="20"/>
      </w:rPr>
    </w:pPr>
    <w:r>
      <w:rPr>
        <w:rFonts w:ascii="Arial" w:hAnsi="Arial" w:cs="Arial"/>
        <w:sz w:val="20"/>
        <w:szCs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B23F2F"/>
    <w:multiLevelType w:val="hybridMultilevel"/>
    <w:tmpl w:val="AB7C3852"/>
    <w:lvl w:ilvl="0" w:tplc="0809000F">
      <w:start w:val="1"/>
      <w:numFmt w:val="decimal"/>
      <w:lvlText w:val="%1."/>
      <w:lvlJc w:val="left"/>
      <w:pPr>
        <w:ind w:left="720" w:hanging="360"/>
      </w:pPr>
    </w:lvl>
    <w:lvl w:ilvl="1" w:tplc="24A2D06A">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92637E"/>
    <w:multiLevelType w:val="hybridMultilevel"/>
    <w:tmpl w:val="D6E2440A"/>
    <w:lvl w:ilvl="0" w:tplc="4746A9CE">
      <w:numFmt w:val="bullet"/>
      <w:lvlText w:val=""/>
      <w:lvlJc w:val="left"/>
      <w:pPr>
        <w:ind w:left="927" w:hanging="360"/>
      </w:pPr>
      <w:rPr>
        <w:rFonts w:ascii="Symbol" w:eastAsia="Times New Roman" w:hAnsi="Symbol" w:hint="default"/>
      </w:rPr>
    </w:lvl>
    <w:lvl w:ilvl="1" w:tplc="08090003" w:tentative="1">
      <w:start w:val="1"/>
      <w:numFmt w:val="bullet"/>
      <w:lvlText w:val="o"/>
      <w:lvlJc w:val="left"/>
      <w:pPr>
        <w:ind w:left="1647" w:hanging="360"/>
      </w:pPr>
      <w:rPr>
        <w:rFonts w:ascii="Courier New" w:hAnsi="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 w15:restartNumberingAfterBreak="0">
    <w:nsid w:val="36E47834"/>
    <w:multiLevelType w:val="hybridMultilevel"/>
    <w:tmpl w:val="4A24C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FB7C34"/>
    <w:multiLevelType w:val="hybridMultilevel"/>
    <w:tmpl w:val="688E7182"/>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15:restartNumberingAfterBreak="0">
    <w:nsid w:val="46C82C50"/>
    <w:multiLevelType w:val="multilevel"/>
    <w:tmpl w:val="0C30E6E6"/>
    <w:lvl w:ilvl="0">
      <w:start w:val="1"/>
      <w:numFmt w:val="decimal"/>
      <w:lvlText w:val="%1."/>
      <w:lvlJc w:val="left"/>
      <w:pPr>
        <w:ind w:left="720" w:hanging="360"/>
      </w:pPr>
      <w:rPr>
        <w:rFonts w:cs="Times New Roman" w:hint="default"/>
      </w:rPr>
    </w:lvl>
    <w:lvl w:ilvl="1">
      <w:start w:val="4"/>
      <w:numFmt w:val="decimal"/>
      <w:isLgl/>
      <w:lvlText w:val="%1.%2"/>
      <w:lvlJc w:val="left"/>
      <w:pPr>
        <w:ind w:left="765" w:hanging="40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5" w15:restartNumberingAfterBreak="0">
    <w:nsid w:val="6CFC41B7"/>
    <w:multiLevelType w:val="hybridMultilevel"/>
    <w:tmpl w:val="7DF0D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8C5B0C"/>
    <w:multiLevelType w:val="multilevel"/>
    <w:tmpl w:val="580E8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4"/>
  </w:num>
  <w:num w:numId="4">
    <w:abstractNumId w:val="1"/>
  </w:num>
  <w:num w:numId="5">
    <w:abstractNumId w:val="6"/>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2F9C216E-0B60-463B-985F-8CFDE1A76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0563C1" w:themeColor="hyperlink"/>
      <w:u w:val="single"/>
    </w:rPr>
  </w:style>
  <w:style w:type="character" w:customStyle="1" w:styleId="UnresolvedMention1">
    <w:name w:val="Unresolved Mention1"/>
    <w:basedOn w:val="DefaultParagraphFont"/>
    <w:uiPriority w:val="99"/>
    <w:semiHidden/>
    <w:unhideWhenUsed/>
    <w:rPr>
      <w:color w:val="808080"/>
      <w:shd w:val="clear" w:color="auto" w:fill="E6E6E6"/>
    </w:rPr>
  </w:style>
  <w:style w:type="paragraph" w:styleId="ListParagraph">
    <w:name w:val="List Paragraph"/>
    <w:basedOn w:val="Normal"/>
    <w:uiPriority w:val="34"/>
    <w:qFormat/>
    <w:pPr>
      <w:ind w:left="720"/>
      <w:contextualSpacing/>
    </w:pPr>
  </w:style>
  <w:style w:type="paragraph" w:customStyle="1" w:styleId="xmsonormal">
    <w:name w:val="x_msonormal"/>
    <w:basedOn w:val="Normal"/>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Pr>
      <w:color w:val="954F72" w:themeColor="followedHyperlink"/>
      <w:u w:val="single"/>
    </w:rPr>
  </w:style>
  <w:style w:type="character" w:customStyle="1" w:styleId="UnresolvedMention2">
    <w:name w:val="Unresolved Mention2"/>
    <w:basedOn w:val="DefaultParagraphFont"/>
    <w:uiPriority w:val="99"/>
    <w:semiHidden/>
    <w:unhideWhenUsed/>
    <w:rPr>
      <w:color w:val="605E5C"/>
      <w:shd w:val="clear" w:color="auto" w:fill="E1DFDD"/>
    </w:rPr>
  </w:style>
  <w:style w:type="character" w:styleId="UnresolvedMention">
    <w:name w:val="Unresolved Mention"/>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5858728">
      <w:bodyDiv w:val="1"/>
      <w:marLeft w:val="0"/>
      <w:marRight w:val="0"/>
      <w:marTop w:val="0"/>
      <w:marBottom w:val="0"/>
      <w:divBdr>
        <w:top w:val="none" w:sz="0" w:space="0" w:color="auto"/>
        <w:left w:val="none" w:sz="0" w:space="0" w:color="auto"/>
        <w:bottom w:val="none" w:sz="0" w:space="0" w:color="auto"/>
        <w:right w:val="none" w:sz="0" w:space="0" w:color="auto"/>
      </w:divBdr>
    </w:div>
    <w:div w:id="737485296">
      <w:bodyDiv w:val="1"/>
      <w:marLeft w:val="0"/>
      <w:marRight w:val="0"/>
      <w:marTop w:val="0"/>
      <w:marBottom w:val="0"/>
      <w:divBdr>
        <w:top w:val="none" w:sz="0" w:space="0" w:color="auto"/>
        <w:left w:val="none" w:sz="0" w:space="0" w:color="auto"/>
        <w:bottom w:val="none" w:sz="0" w:space="0" w:color="auto"/>
        <w:right w:val="none" w:sz="0" w:space="0" w:color="auto"/>
      </w:divBdr>
    </w:div>
    <w:div w:id="1660382397">
      <w:bodyDiv w:val="1"/>
      <w:marLeft w:val="0"/>
      <w:marRight w:val="0"/>
      <w:marTop w:val="0"/>
      <w:marBottom w:val="0"/>
      <w:divBdr>
        <w:top w:val="none" w:sz="0" w:space="0" w:color="auto"/>
        <w:left w:val="none" w:sz="0" w:space="0" w:color="auto"/>
        <w:bottom w:val="none" w:sz="0" w:space="0" w:color="auto"/>
        <w:right w:val="none" w:sz="0" w:space="0" w:color="auto"/>
      </w:divBdr>
    </w:div>
    <w:div w:id="1776091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legislation.gov.uk/ukpga/1998/31/content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s://www.gov.uk/government/publications/school-admissions-appeals-code" TargetMode="External"/><Relationship Id="rId17" Type="http://schemas.openxmlformats.org/officeDocument/2006/relationships/hyperlink" Target="https://www.coventry.gov.uk/school-admissions/school-appeal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oventry.gov.uk/school-admissions/primary-school-admission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chool-admissions-code--2"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www.coventry.gov.uk/downloads/file/28497/guidance_notes_for_applying_to_educate_out_%20of_the_normal_chronological_age_group" TargetMode="External"/><Relationship Id="rId23" Type="http://schemas.openxmlformats.org/officeDocument/2006/relationships/footer" Target="footer3.xml"/><Relationship Id="rId10" Type="http://schemas.openxmlformats.org/officeDocument/2006/relationships/hyperlink" Target="http://www.coventry.gov.uk/info/148/school_admissions/114/primary_school_admissions" TargetMode="External"/><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oventry.gov.uk/catchmentareas"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0EC45960C30DF4F849FE55309AA1D21" ma:contentTypeVersion="18" ma:contentTypeDescription="Create a new document." ma:contentTypeScope="" ma:versionID="125aa4c08f4bc297c8b6fc8c56d31a00">
  <xsd:schema xmlns:xsd="http://www.w3.org/2001/XMLSchema" xmlns:xs="http://www.w3.org/2001/XMLSchema" xmlns:p="http://schemas.microsoft.com/office/2006/metadata/properties" xmlns:ns3="92b0dab0-21f0-47d1-a540-abbb716456c5" xmlns:ns4="79e3162e-f5f3-47b6-9b07-3ff31bc2668d" targetNamespace="http://schemas.microsoft.com/office/2006/metadata/properties" ma:root="true" ma:fieldsID="3f1cd185ea02f072ed3e3e83aebe3b3f" ns3:_="" ns4:_="">
    <xsd:import namespace="92b0dab0-21f0-47d1-a540-abbb716456c5"/>
    <xsd:import namespace="79e3162e-f5f3-47b6-9b07-3ff31bc2668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b0dab0-21f0-47d1-a540-abbb716456c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e3162e-f5f3-47b6-9b07-3ff31bc2668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79e3162e-f5f3-47b6-9b07-3ff31bc2668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C18461-00B4-4A36-B9F0-1FA6BC1298C2}">
  <ds:schemaRefs>
    <ds:schemaRef ds:uri="http://schemas.microsoft.com/office/2006/metadata/contentType"/>
    <ds:schemaRef ds:uri="http://schemas.microsoft.com/office/2006/metadata/properties/metaAttributes"/>
    <ds:schemaRef ds:uri="http://www.w3.org/2000/xmlns/"/>
    <ds:schemaRef ds:uri="http://www.w3.org/2001/XMLSchema"/>
    <ds:schemaRef ds:uri="92b0dab0-21f0-47d1-a540-abbb716456c5"/>
    <ds:schemaRef ds:uri="79e3162e-f5f3-47b6-9b07-3ff31bc2668d"/>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14E1B20-0134-48F8-8109-37F942EA9012}">
  <ds:schemaRefs>
    <ds:schemaRef ds:uri="http://schemas.microsoft.com/office/2006/metadata/properties"/>
    <ds:schemaRef ds:uri="http://schemas.microsoft.com/office/2006/documentManagement/types"/>
    <ds:schemaRef ds:uri="92b0dab0-21f0-47d1-a540-abbb716456c5"/>
    <ds:schemaRef ds:uri="http://purl.org/dc/elements/1.1/"/>
    <ds:schemaRef ds:uri="http://schemas.openxmlformats.org/package/2006/metadata/core-properties"/>
    <ds:schemaRef ds:uri="http://www.w3.org/XML/1998/namespace"/>
    <ds:schemaRef ds:uri="http://schemas.microsoft.com/office/infopath/2007/PartnerControls"/>
    <ds:schemaRef ds:uri="79e3162e-f5f3-47b6-9b07-3ff31bc2668d"/>
    <ds:schemaRef ds:uri="http://purl.org/dc/dcmitype/"/>
    <ds:schemaRef ds:uri="http://purl.org/dc/terms/"/>
  </ds:schemaRefs>
</ds:datastoreItem>
</file>

<file path=customXml/itemProps3.xml><?xml version="1.0" encoding="utf-8"?>
<ds:datastoreItem xmlns:ds="http://schemas.openxmlformats.org/officeDocument/2006/customXml" ds:itemID="{4EE48C11-8412-4351-9199-0F5470A7816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8</Pages>
  <Words>2144</Words>
  <Characters>12222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Williams</dc:creator>
  <cp:keywords/>
  <dc:description/>
  <cp:lastModifiedBy>J. Astley (KG)</cp:lastModifiedBy>
  <cp:revision>9</cp:revision>
  <dcterms:created xsi:type="dcterms:W3CDTF">2025-01-15T08:09:00Z</dcterms:created>
  <dcterms:modified xsi:type="dcterms:W3CDTF">2025-01-15T08:27:00Z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0x010100C0EC45960C30DF4F849FE55309AA1D21</vt:lpwstr>
  </property>
</Properties>
</file>